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C547E4" w:rsidP="00C547E4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C547E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বান্দার</w:t>
      </w:r>
      <w:r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ওপর </w:t>
      </w:r>
      <w:r w:rsidRPr="00C547E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আল্লাহর</w:t>
      </w:r>
      <w:r w:rsidRPr="00C547E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C547E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সবচেয়ে</w:t>
      </w:r>
      <w:r w:rsidRPr="00C547E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C547E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বড়</w:t>
      </w:r>
      <w:r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নি</w:t>
      </w:r>
      <w:r>
        <w:rPr>
          <w:rFonts w:ascii="Kalpurush" w:hAnsi="Kalpurush" w:cs="Kalpurush"/>
          <w:color w:val="205B83"/>
          <w:sz w:val="72"/>
          <w:szCs w:val="72"/>
          <w:lang w:bidi="bn-BD"/>
        </w:rPr>
        <w:t>‘</w:t>
      </w:r>
      <w:r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আমত </w:t>
      </w:r>
      <w:r w:rsidRPr="00C547E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ঈমান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3669DB" w:rsidRDefault="00C547E4" w:rsidP="00C547E4">
      <w:pPr>
        <w:spacing w:after="0" w:line="240" w:lineRule="auto"/>
        <w:ind w:firstLine="113"/>
        <w:jc w:val="center"/>
        <w:rPr>
          <w:rFonts w:asciiTheme="majorBidi" w:hAnsiTheme="majorBidi" w:cs="Kalpurush"/>
          <w:sz w:val="40"/>
          <w:szCs w:val="50"/>
          <w:rtl/>
          <w:cs/>
          <w:lang w:bidi="bn-BD"/>
        </w:rPr>
      </w:pPr>
      <w:r w:rsidRPr="00C547E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أعظم</w:t>
      </w:r>
      <w:r w:rsidRPr="00C547E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C547E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نعم</w:t>
      </w:r>
      <w:r w:rsidRPr="00C547E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C547E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الله</w:t>
      </w:r>
      <w:r w:rsidRPr="00C547E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C547E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تعالى</w:t>
      </w:r>
      <w:r w:rsidRPr="00C547E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C547E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على</w:t>
      </w:r>
      <w:r w:rsidRPr="00C547E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C547E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عباده</w:t>
      </w:r>
      <w:r w:rsidRPr="00C547E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C547E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الإيمان</w:t>
      </w:r>
      <w:r w:rsidRPr="00C547E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C547E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به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625934CB" wp14:editId="134B350D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630BD9" w:rsidP="00C547E4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ইসলাম কিউ এ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630BD9" w:rsidP="00630BD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الإسلام سؤال وجواب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Default="00A03054" w:rsidP="00A03054">
      <w:pPr>
        <w:bidi w:val="0"/>
        <w:jc w:val="center"/>
        <w:rPr>
          <w:rFonts w:asciiTheme="majorBidi" w:hAnsiTheme="majorBidi" w:cs="Vrinda"/>
          <w:color w:val="7F7F7F" w:themeColor="text1" w:themeTint="80"/>
          <w:sz w:val="12"/>
          <w:szCs w:val="15"/>
          <w:cs/>
          <w:lang w:bidi="bn-BD"/>
        </w:rPr>
      </w:pPr>
    </w:p>
    <w:p w:rsidR="007D023D" w:rsidRPr="007D023D" w:rsidRDefault="007D023D" w:rsidP="007D023D">
      <w:pPr>
        <w:bidi w:val="0"/>
        <w:jc w:val="center"/>
        <w:rPr>
          <w:rFonts w:asciiTheme="majorBidi" w:hAnsiTheme="majorBidi" w:cs="Vrinda"/>
          <w:color w:val="7F7F7F" w:themeColor="text1" w:themeTint="80"/>
          <w:sz w:val="12"/>
          <w:szCs w:val="15"/>
          <w:cs/>
          <w:lang w:bidi="bn-BD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630BD9" w:rsidRPr="00912D68" w:rsidRDefault="00630BD9" w:rsidP="00630BD9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630BD9" w:rsidRPr="00E270CA" w:rsidRDefault="00630BD9" w:rsidP="00630BD9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Pr="00630BD9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Pr="00630BD9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Pr="00630BD9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নাজির</w:t>
      </w:r>
      <w:r w:rsidRPr="00630BD9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Pr="00630BD9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3669DB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630BD9" w:rsidRPr="00E96A90" w:rsidRDefault="00630BD9" w:rsidP="00630BD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Pr="00630BD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Pr="00630BD9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Pr="00630BD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Pr="00630BD9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Pr="00630BD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Pr="00630BD9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Pr="00630BD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3669DB" w:rsidRDefault="00630BD9" w:rsidP="00630BD9">
      <w:pPr>
        <w:spacing w:after="0" w:line="240" w:lineRule="auto"/>
        <w:ind w:firstLine="113"/>
        <w:jc w:val="center"/>
        <w:rPr>
          <w:rFonts w:asciiTheme="majorBidi" w:hAnsiTheme="majorBidi" w:cs="Times New Roman"/>
          <w:color w:val="006666"/>
          <w:sz w:val="40"/>
          <w:szCs w:val="40"/>
          <w:rtl/>
        </w:rPr>
        <w:sectPr w:rsidR="008B3703" w:rsidRPr="003669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C429F3" w:rsidRDefault="00E942BB" w:rsidP="00E942BB">
      <w:pPr>
        <w:bidi w:val="0"/>
        <w:jc w:val="center"/>
        <w:rPr>
          <w:rFonts w:asciiTheme="majorBidi" w:hAnsiTheme="majorBidi" w:cs="Kalpurush"/>
          <w:color w:val="006666"/>
          <w:sz w:val="8"/>
          <w:szCs w:val="16"/>
          <w:cs/>
          <w:lang w:bidi="bn-BD"/>
        </w:rPr>
      </w:pPr>
      <w:bookmarkStart w:id="0" w:name="_GoBack"/>
      <w:bookmarkEnd w:id="0"/>
    </w:p>
    <w:p w:rsidR="00E942BB" w:rsidRPr="008378B2" w:rsidRDefault="00E942BB" w:rsidP="00C547E4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14AB75C" wp14:editId="7A68F3B3">
            <wp:simplePos x="0" y="0"/>
            <wp:positionH relativeFrom="margin">
              <wp:posOffset>341515</wp:posOffset>
            </wp:positionH>
            <wp:positionV relativeFrom="paragraph">
              <wp:posOffset>96359</wp:posOffset>
            </wp:positionV>
            <wp:extent cx="5227093" cy="472357"/>
            <wp:effectExtent l="0" t="0" r="0" b="4445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092" cy="472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7E4" w:rsidRPr="00C547E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বান্দার</w:t>
      </w:r>
      <w:r w:rsidR="00C547E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ওপর </w:t>
      </w:r>
      <w:r w:rsidR="00C547E4" w:rsidRPr="00C547E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আল্লাহর</w:t>
      </w:r>
      <w:r w:rsidR="00C547E4" w:rsidRPr="00C547E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C547E4" w:rsidRPr="00C547E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সবচেয়ে</w:t>
      </w:r>
      <w:r w:rsidR="00C547E4" w:rsidRPr="00C547E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C547E4" w:rsidRPr="00C547E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বড়</w:t>
      </w:r>
      <w:r w:rsidR="00C547E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নি</w:t>
      </w:r>
      <w:r w:rsidR="00C547E4">
        <w:rPr>
          <w:rFonts w:ascii="Kalpurush" w:hAnsi="Kalpurush" w:cs="Kalpurush"/>
          <w:color w:val="205B83"/>
          <w:sz w:val="32"/>
          <w:szCs w:val="32"/>
          <w:lang w:bidi="bn-BD"/>
        </w:rPr>
        <w:t>‘</w:t>
      </w:r>
      <w:r w:rsidR="00C547E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আমত </w:t>
      </w:r>
      <w:r w:rsidR="00C547E4" w:rsidRPr="00C547E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ঈমান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C547E4" w:rsidRPr="00C547E4" w:rsidRDefault="00C547E4" w:rsidP="00C547E4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547E4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প্রশ্ন: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 xml:space="preserve"> কোনো এক শাইখের বক্তব্য সম্বলিত জনৈক ভাইয়ের একটি পত্র আমার হস্তগত হয়েছে, পত্রটি ছিল নিম্নরূপ: সবচেয়ে বড় নি</w:t>
      </w:r>
      <w:r w:rsidRPr="00C547E4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আমত কোনটি? সম্পদ, পিতা-মাতা অথবা পাপ থেকে সুরক্ষা? কেউ বলেছেন: আমাদের ওপর সবচেয়ে বড় নি</w:t>
      </w:r>
      <w:r w:rsidRPr="00C547E4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 xml:space="preserve">আমত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আমার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রব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যিনি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উপকার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ও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অপকারের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মালিক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তার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হাতে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রয়েছে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সর্বময়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ক্ষমতা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আমরা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তার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নাফরমান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করি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অথচ তিনি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আমাদের ওপর ধৈর্যধারণ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করেন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ও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আমাদেরকে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সুযোগ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দেন</w:t>
      </w:r>
      <w:r w:rsidRPr="003669DB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C547E4" w:rsidRPr="00C547E4" w:rsidRDefault="00C547E4" w:rsidP="00C547E4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547E4">
        <w:rPr>
          <w:rFonts w:ascii="Kalpurush" w:hAnsi="Kalpurush" w:cs="Kalpurush"/>
          <w:sz w:val="24"/>
          <w:szCs w:val="24"/>
          <w:cs/>
          <w:lang w:bidi="bn-BD"/>
        </w:rPr>
        <w:t>এ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কথা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কি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ঠিক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যে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আমাদের ওপর আল্লাহর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সবচেয়ে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বড় নি</w:t>
      </w:r>
      <w:r w:rsidRPr="00C547E4">
        <w:rPr>
          <w:rFonts w:ascii="Kalpurush" w:hAnsi="Kalpurush" w:cs="Kalpurush"/>
          <w:sz w:val="24"/>
          <w:szCs w:val="24"/>
          <w:lang w:bidi="bn-BD"/>
        </w:rPr>
        <w:t>‘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আমত তিনি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আমাদের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রব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অর্থাৎ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তার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রুবুবি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য়্যা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ত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আমাদের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জন্য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সবচেয়ে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বড়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নি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মত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এরূপ বলা কি বৈধ যে, আল্লাহ সবচেয়ে বড় নি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মত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অথবা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এরূপ বলায় কোনো পার্থক্য আছে কি</w:t>
      </w:r>
      <w:r w:rsidRPr="00C547E4">
        <w:rPr>
          <w:rFonts w:ascii="Kalpurush" w:hAnsi="Kalpurush" w:cs="Kalpurush"/>
          <w:sz w:val="24"/>
          <w:szCs w:val="24"/>
          <w:lang w:bidi="bn-BD"/>
        </w:rPr>
        <w:t>,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 xml:space="preserve"> আল্লাহ তা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আলাই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নি</w:t>
      </w:r>
      <w:r w:rsidRPr="00C547E4">
        <w:rPr>
          <w:rFonts w:ascii="Kalpurush" w:hAnsi="Kalpurush" w:cs="Kalpurush"/>
          <w:sz w:val="24"/>
          <w:szCs w:val="24"/>
          <w:lang w:bidi="bn-BD"/>
        </w:rPr>
        <w:t>‘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আমত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কিংবা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আল্লাহ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আমার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রব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এটিই সবচেয়ে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বড়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নি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মত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আল্লাহ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আপনাদের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উত্তম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প্রতিদান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দিন</w:t>
      </w:r>
      <w:r w:rsidRPr="003669DB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C547E4" w:rsidRPr="00C547E4" w:rsidRDefault="00C547E4" w:rsidP="00C547E4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547E4">
        <w:rPr>
          <w:rFonts w:ascii="Kalpurush" w:hAnsi="Kalpurush" w:cs="Kalpurush"/>
          <w:color w:val="C00000"/>
          <w:sz w:val="24"/>
          <w:szCs w:val="24"/>
          <w:cs/>
          <w:lang w:bidi="bn-BD"/>
        </w:rPr>
        <w:t>উত্তর: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 xml:space="preserve"> আল-হামদুলিল্লাহ।</w:t>
      </w:r>
    </w:p>
    <w:p w:rsidR="00C547E4" w:rsidRPr="00C547E4" w:rsidRDefault="00C547E4" w:rsidP="00C547E4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এতে সন্দেহ নেই যে, বান্দার ওপর আল্লাহর সবচেয়ে বড় নি</w:t>
      </w:r>
      <w:r w:rsidRPr="00C547E4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আমত তার দীনের হিদায়াত, যা তিনি বান্দাদের জন্য পছন্দ করেছেন ও যার ওপর চলার আদেশ করেছেন। তিনি বলেন:</w:t>
      </w:r>
    </w:p>
    <w:p w:rsidR="00C547E4" w:rsidRPr="003669DB" w:rsidRDefault="00C547E4" w:rsidP="00C547E4">
      <w:pPr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C547E4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C547E4">
        <w:rPr>
          <w:rFonts w:ascii="KFGQPC Uthmanic Script HAFS" w:cs="KFGQPC Uthmanic Script HAFS" w:hint="cs"/>
          <w:color w:val="008000"/>
          <w:sz w:val="24"/>
          <w:szCs w:val="24"/>
          <w:rtl/>
        </w:rPr>
        <w:t>ٱلۡيَوۡمَ</w:t>
      </w:r>
      <w:r w:rsidRPr="00C547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547E4">
        <w:rPr>
          <w:rFonts w:ascii="KFGQPC Uthmanic Script HAFS" w:cs="KFGQPC Uthmanic Script HAFS" w:hint="cs"/>
          <w:color w:val="008000"/>
          <w:sz w:val="24"/>
          <w:szCs w:val="24"/>
          <w:rtl/>
        </w:rPr>
        <w:t>أَكۡمَلۡتُ</w:t>
      </w:r>
      <w:r w:rsidRPr="00C547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547E4">
        <w:rPr>
          <w:rFonts w:ascii="KFGQPC Uthmanic Script HAFS" w:cs="KFGQPC Uthmanic Script HAFS" w:hint="cs"/>
          <w:color w:val="008000"/>
          <w:sz w:val="24"/>
          <w:szCs w:val="24"/>
          <w:rtl/>
        </w:rPr>
        <w:t>لَكُمۡ</w:t>
      </w:r>
      <w:r w:rsidRPr="00C547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547E4">
        <w:rPr>
          <w:rFonts w:ascii="KFGQPC Uthmanic Script HAFS" w:cs="KFGQPC Uthmanic Script HAFS" w:hint="cs"/>
          <w:color w:val="008000"/>
          <w:sz w:val="24"/>
          <w:szCs w:val="24"/>
          <w:rtl/>
        </w:rPr>
        <w:t>دِينَكُمۡ</w:t>
      </w:r>
      <w:r w:rsidRPr="00C547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547E4">
        <w:rPr>
          <w:rFonts w:ascii="KFGQPC Uthmanic Script HAFS" w:cs="KFGQPC Uthmanic Script HAFS" w:hint="cs"/>
          <w:color w:val="008000"/>
          <w:sz w:val="24"/>
          <w:szCs w:val="24"/>
          <w:rtl/>
        </w:rPr>
        <w:t>وَأَتۡمَمۡتُ</w:t>
      </w:r>
      <w:r w:rsidRPr="00C547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547E4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عَلَيۡكُمۡ</w:t>
      </w:r>
      <w:r w:rsidRPr="00C547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547E4">
        <w:rPr>
          <w:rFonts w:ascii="KFGQPC Uthmanic Script HAFS" w:cs="KFGQPC Uthmanic Script HAFS" w:hint="cs"/>
          <w:color w:val="008000"/>
          <w:sz w:val="24"/>
          <w:szCs w:val="24"/>
          <w:rtl/>
        </w:rPr>
        <w:t>نِعۡمَتِي</w:t>
      </w:r>
      <w:r w:rsidRPr="00C547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547E4">
        <w:rPr>
          <w:rFonts w:ascii="KFGQPC Uthmanic Script HAFS" w:cs="KFGQPC Uthmanic Script HAFS" w:hint="cs"/>
          <w:color w:val="008000"/>
          <w:sz w:val="24"/>
          <w:szCs w:val="24"/>
          <w:rtl/>
        </w:rPr>
        <w:t>وَرَضِيتُ</w:t>
      </w:r>
      <w:r w:rsidRPr="00C547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547E4">
        <w:rPr>
          <w:rFonts w:ascii="KFGQPC Uthmanic Script HAFS" w:cs="KFGQPC Uthmanic Script HAFS" w:hint="cs"/>
          <w:color w:val="008000"/>
          <w:sz w:val="24"/>
          <w:szCs w:val="24"/>
          <w:rtl/>
        </w:rPr>
        <w:t>لَكُمُ</w:t>
      </w:r>
      <w:r w:rsidRPr="00C547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547E4">
        <w:rPr>
          <w:rFonts w:ascii="KFGQPC Uthmanic Script HAFS" w:cs="KFGQPC Uthmanic Script HAFS" w:hint="cs"/>
          <w:color w:val="008000"/>
          <w:sz w:val="24"/>
          <w:szCs w:val="24"/>
          <w:rtl/>
        </w:rPr>
        <w:t>ٱلۡإِسۡلَٰمَ</w:t>
      </w:r>
      <w:r w:rsidRPr="00C547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547E4">
        <w:rPr>
          <w:rFonts w:ascii="KFGQPC Uthmanic Script HAFS" w:cs="KFGQPC Uthmanic Script HAFS" w:hint="cs"/>
          <w:color w:val="008000"/>
          <w:sz w:val="24"/>
          <w:szCs w:val="24"/>
          <w:rtl/>
        </w:rPr>
        <w:t>دِينٗاۚ</w:t>
      </w:r>
      <w:r w:rsidRPr="00C547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547E4">
        <w:rPr>
          <w:rFonts w:ascii="KFGQPC Uthmanic Script HAFS" w:cs="KFGQPC Uthmanic Script HAFS" w:hint="cs"/>
          <w:color w:val="008000"/>
          <w:sz w:val="24"/>
          <w:szCs w:val="24"/>
          <w:rtl/>
        </w:rPr>
        <w:t>٣</w:t>
      </w:r>
      <w:r w:rsidRPr="00C547E4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C547E4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C547E4">
        <w:rPr>
          <w:rFonts w:ascii="KFGQPC Uthman Taha Naskh" w:cs="KFGQPC Uthman Taha Naskh" w:hint="cs"/>
          <w:color w:val="008000"/>
          <w:sz w:val="24"/>
          <w:szCs w:val="24"/>
          <w:rtl/>
        </w:rPr>
        <w:t>المائ‍دة</w:t>
      </w:r>
      <w:r w:rsidRPr="00C547E4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C547E4">
        <w:rPr>
          <w:rFonts w:ascii="KFGQPC Uthman Taha Naskh" w:cs="KFGQPC Uthman Taha Naskh" w:hint="cs"/>
          <w:color w:val="008000"/>
          <w:sz w:val="24"/>
          <w:szCs w:val="24"/>
          <w:rtl/>
        </w:rPr>
        <w:t>٣</w:t>
      </w:r>
      <w:r w:rsidRPr="00C547E4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C547E4" w:rsidRPr="00C547E4" w:rsidRDefault="00C547E4" w:rsidP="00C547E4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“আজ আমি তোমাদের জন্য তোমাদের দীনকে পূর্ণ করলাম এবং তোমাদের ওপর আমার নি</w:t>
      </w:r>
      <w:r w:rsidRPr="00C547E4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আমত সম্পূর্ণ করলাম এবং তোমাদের জন্য দীন হিসেবে পছন্দ করলাম ইসলামকে”। [সূরা আল-মায়েদা, আয়াত: ৩]</w:t>
      </w:r>
    </w:p>
    <w:p w:rsidR="00C547E4" w:rsidRPr="00C547E4" w:rsidRDefault="00C547E4" w:rsidP="00C547E4">
      <w:pPr>
        <w:bidi w:val="0"/>
        <w:spacing w:after="0"/>
        <w:jc w:val="both"/>
        <w:rPr>
          <w:rFonts w:ascii="Kalpurush" w:hAnsi="Kalpurush"/>
          <w:sz w:val="24"/>
          <w:szCs w:val="24"/>
          <w:rtl/>
        </w:rPr>
      </w:pP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 xml:space="preserve">ইবন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কাস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র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 xml:space="preserve"> রহ. বলেন: এ উম্মতের ওপর আল্লাহ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তা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আলার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এটিই সবচেয়ে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বড় নি</w:t>
      </w:r>
      <w:r w:rsidRPr="00C547E4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আমত যে, তি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নি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তাদের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জন্য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তাদের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দীনকে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পূর্ণ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করে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দিয়েছেন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 xml:space="preserve">, তাই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তারা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অন্য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কোনো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দীনের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মুখাপেক্ষী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নয়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C547E4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অন্য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কোনো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নবীর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প্রয়োজন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নেই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আল্লাহ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তাদের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সবার ওপর সালাত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ও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সালাম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বর্ষণ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করুন</w:t>
      </w:r>
      <w:r w:rsidRPr="003669D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আল্লাহ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তা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আলা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জি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ন্ন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ও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মানুষের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নিকট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মুহাম্ম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দ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সাল্লাল্লাহু আলাইহি ওয়াসাল্লামকে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সর্বশেষ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নবী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বানিয়ে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প্রেরণ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করেছেন</w:t>
      </w:r>
      <w:r w:rsidRPr="003669D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তার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হালাল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ব্যতীত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কোনো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হালাল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নেই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তার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হারাম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ব্যতীত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কোনো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হারাম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নেই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তার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স্বীকৃত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দীন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ব্যতীত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কোনো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দীন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নেই</w:t>
      </w:r>
      <w:r w:rsidRPr="003669D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তিনি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যেসব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বিষয়ে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সংবাদ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দিয়েছেন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তা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সত্য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ও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সঠিক, তাতে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মিথ্যা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ও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প্রতারণা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নেই</w:t>
      </w:r>
      <w:r w:rsidRPr="003669D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যেমন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 xml:space="preserve">তিনি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বলেন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: 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C547E4" w:rsidRPr="003669DB" w:rsidRDefault="00C547E4" w:rsidP="00C547E4">
      <w:pPr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C547E4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C547E4">
        <w:rPr>
          <w:rFonts w:ascii="KFGQPC Uthmanic Script HAFS" w:cs="KFGQPC Uthmanic Script HAFS" w:hint="cs"/>
          <w:color w:val="008000"/>
          <w:sz w:val="24"/>
          <w:szCs w:val="24"/>
          <w:rtl/>
        </w:rPr>
        <w:t>وَتَمَّتۡ</w:t>
      </w:r>
      <w:r w:rsidRPr="00C547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547E4">
        <w:rPr>
          <w:rFonts w:ascii="KFGQPC Uthmanic Script HAFS" w:cs="KFGQPC Uthmanic Script HAFS" w:hint="cs"/>
          <w:color w:val="008000"/>
          <w:sz w:val="24"/>
          <w:szCs w:val="24"/>
          <w:rtl/>
        </w:rPr>
        <w:t>كَلِمَتُ</w:t>
      </w:r>
      <w:r w:rsidRPr="00C547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547E4">
        <w:rPr>
          <w:rFonts w:ascii="KFGQPC Uthmanic Script HAFS" w:cs="KFGQPC Uthmanic Script HAFS" w:hint="cs"/>
          <w:color w:val="008000"/>
          <w:sz w:val="24"/>
          <w:szCs w:val="24"/>
          <w:rtl/>
        </w:rPr>
        <w:t>رَبِّكَ</w:t>
      </w:r>
      <w:r w:rsidRPr="00C547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547E4">
        <w:rPr>
          <w:rFonts w:ascii="KFGQPC Uthmanic Script HAFS" w:cs="KFGQPC Uthmanic Script HAFS" w:hint="cs"/>
          <w:color w:val="008000"/>
          <w:sz w:val="24"/>
          <w:szCs w:val="24"/>
          <w:rtl/>
        </w:rPr>
        <w:t>صِدۡقٗا</w:t>
      </w:r>
      <w:r w:rsidRPr="00C547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547E4">
        <w:rPr>
          <w:rFonts w:ascii="KFGQPC Uthmanic Script HAFS" w:cs="KFGQPC Uthmanic Script HAFS" w:hint="cs"/>
          <w:color w:val="008000"/>
          <w:sz w:val="24"/>
          <w:szCs w:val="24"/>
          <w:rtl/>
        </w:rPr>
        <w:t>وَعَدۡلٗاۚ</w:t>
      </w:r>
      <w:r w:rsidRPr="00C547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547E4">
        <w:rPr>
          <w:rFonts w:ascii="KFGQPC Uthmanic Script HAFS" w:cs="KFGQPC Uthmanic Script HAFS" w:hint="cs"/>
          <w:color w:val="008000"/>
          <w:sz w:val="24"/>
          <w:szCs w:val="24"/>
          <w:rtl/>
        </w:rPr>
        <w:t>١١٥</w:t>
      </w:r>
      <w:r w:rsidRPr="00C547E4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C547E4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C547E4">
        <w:rPr>
          <w:rFonts w:ascii="KFGQPC Uthman Taha Naskh" w:cs="KFGQPC Uthman Taha Naskh" w:hint="cs"/>
          <w:color w:val="008000"/>
          <w:sz w:val="24"/>
          <w:szCs w:val="24"/>
          <w:rtl/>
        </w:rPr>
        <w:t>الانعام</w:t>
      </w:r>
      <w:r w:rsidRPr="00C547E4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C547E4">
        <w:rPr>
          <w:rFonts w:ascii="KFGQPC Uthman Taha Naskh" w:cs="KFGQPC Uthman Taha Naskh" w:hint="cs"/>
          <w:color w:val="008000"/>
          <w:sz w:val="24"/>
          <w:szCs w:val="24"/>
          <w:rtl/>
        </w:rPr>
        <w:t>١١٥</w:t>
      </w:r>
      <w:r w:rsidRPr="00C547E4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C547E4" w:rsidRPr="00C547E4" w:rsidRDefault="00C547E4" w:rsidP="00C547E4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আর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রবের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বাণী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সত্য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ও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ন্যায়পরায়ণতার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দিক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থেকে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পরিপূর্ণ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হয়েছে</w:t>
      </w:r>
      <w:r w:rsidRPr="00C547E4">
        <w:rPr>
          <w:rFonts w:ascii="Kalpurush" w:hAnsi="Kalpurush" w:cs="Kalpurush"/>
          <w:sz w:val="24"/>
          <w:szCs w:val="24"/>
          <w:lang w:bidi="bn-BD"/>
        </w:rPr>
        <w:t>”</w:t>
      </w:r>
      <w:r w:rsidRPr="003669DB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সূরা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আল-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আন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আম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 xml:space="preserve">, আয়াত: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১১৫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]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 xml:space="preserve"> অর্থাৎ তার সংবাদ সত্য এবং তার আদেশ ও নিষেধ ন্যায়পরায়ণতার দিক থেকে পরিপূর্ণ। দীনকে পূর্ণ করে 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 xml:space="preserve">আল্লাহ এ উম্মতের ওপর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স্বীয় নি</w:t>
      </w:r>
      <w:r w:rsidRPr="00C547E4">
        <w:rPr>
          <w:rFonts w:ascii="Kalpurush" w:hAnsi="Kalpurush" w:cs="Kalpurush"/>
          <w:sz w:val="24"/>
          <w:szCs w:val="24"/>
          <w:lang w:bidi="bn-BD"/>
        </w:rPr>
        <w:t>‘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 xml:space="preserve">আমত 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পরি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পূর্ণ করেছেন”</w:t>
      </w:r>
      <w:r w:rsidRPr="003669DB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সূরা</w:t>
      </w:r>
      <w:r w:rsidRPr="00C547E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আল-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আন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আম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 xml:space="preserve">, আয়াত: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১১৫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]</w:t>
      </w:r>
    </w:p>
    <w:p w:rsidR="00C547E4" w:rsidRPr="00C547E4" w:rsidRDefault="00C547E4" w:rsidP="00060FFE">
      <w:pPr>
        <w:bidi w:val="0"/>
        <w:spacing w:after="0"/>
        <w:jc w:val="both"/>
        <w:rPr>
          <w:rFonts w:ascii="Kalpurush" w:hAnsi="Kalpurush"/>
          <w:sz w:val="24"/>
          <w:szCs w:val="24"/>
          <w:rtl/>
        </w:rPr>
      </w:pP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শাইখুল ইসলাম ইবন তাইমিয়্যাহ রহ. বলেন: “আল্লাহ মানুষকে ঈমানের হিদায়াত করেছেন ও তাদেরকে তা গ্রহণের নির্দেশ দিয়েছেন, এটিই তাদের ওপর তার সবচেয়ে বড় নি</w:t>
      </w:r>
      <w:r w:rsidRPr="00C547E4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আমত। তারাই বড় নি</w:t>
      </w:r>
      <w:r w:rsidR="00060FFE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মতের অধিকারী, যারা হিদায়াতপ্রাপ্ত এবং যাদেরকে আল্লাহ নিম্নের আয়াতে উল্লেখ করেছেন:</w:t>
      </w:r>
    </w:p>
    <w:p w:rsidR="00C547E4" w:rsidRPr="003669DB" w:rsidRDefault="00C547E4" w:rsidP="00C547E4">
      <w:pPr>
        <w:spacing w:after="0"/>
        <w:jc w:val="both"/>
        <w:rPr>
          <w:rFonts w:ascii="Kalpurush" w:hAnsi="Kalpurush" w:cs="Kalpurush"/>
          <w:w w:val="96"/>
          <w:sz w:val="24"/>
          <w:szCs w:val="24"/>
          <w:cs/>
          <w:lang w:bidi="bn-BD"/>
        </w:rPr>
      </w:pPr>
      <w:r w:rsidRPr="00C547E4">
        <w:rPr>
          <w:rFonts w:ascii="KFGQPC Uthman Taha Naskh" w:cs="KFGQPC Uthman Taha Naskh" w:hint="cs"/>
          <w:color w:val="008000"/>
          <w:w w:val="96"/>
          <w:sz w:val="24"/>
          <w:szCs w:val="24"/>
          <w:rtl/>
        </w:rPr>
        <w:t>﴿</w:t>
      </w:r>
      <w:r w:rsidRPr="00C547E4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ٱهۡدِنَا</w:t>
      </w:r>
      <w:r w:rsidRPr="00C547E4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C547E4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ٱلصِّرَٰطَ</w:t>
      </w:r>
      <w:r w:rsidRPr="00C547E4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C547E4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ٱلۡمُسۡتَقِيمَ</w:t>
      </w:r>
      <w:r w:rsidRPr="00C547E4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C547E4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٦</w:t>
      </w:r>
      <w:r w:rsidRPr="00C547E4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C547E4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صِرَٰطَ</w:t>
      </w:r>
      <w:r w:rsidRPr="00C547E4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C547E4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ٱلَّذِينَ</w:t>
      </w:r>
      <w:r w:rsidRPr="00C547E4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C547E4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أَنۡعَمۡتَ</w:t>
      </w:r>
      <w:r w:rsidRPr="00C547E4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C547E4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عَلَيۡهِمۡ</w:t>
      </w:r>
      <w:r w:rsidRPr="00C547E4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C547E4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٧</w:t>
      </w:r>
      <w:r w:rsidRPr="00C547E4">
        <w:rPr>
          <w:rFonts w:ascii="KFGQPC Uthman Taha Naskh" w:cs="KFGQPC Uthman Taha Naskh" w:hint="cs"/>
          <w:color w:val="008000"/>
          <w:w w:val="96"/>
          <w:sz w:val="24"/>
          <w:szCs w:val="24"/>
          <w:rtl/>
        </w:rPr>
        <w:t>﴾</w:t>
      </w:r>
      <w:r w:rsidRPr="00C547E4">
        <w:rPr>
          <w:rFonts w:ascii="KFGQPC Uthman Taha Naskh" w:cs="KFGQPC Uthman Taha Naskh"/>
          <w:color w:val="008000"/>
          <w:w w:val="96"/>
          <w:sz w:val="24"/>
          <w:szCs w:val="24"/>
          <w:rtl/>
        </w:rPr>
        <w:t xml:space="preserve"> [</w:t>
      </w:r>
      <w:r w:rsidRPr="00C547E4">
        <w:rPr>
          <w:rFonts w:ascii="KFGQPC Uthman Taha Naskh" w:cs="KFGQPC Uthman Taha Naskh" w:hint="cs"/>
          <w:color w:val="008000"/>
          <w:w w:val="96"/>
          <w:sz w:val="24"/>
          <w:szCs w:val="24"/>
          <w:rtl/>
        </w:rPr>
        <w:t>الفاتحة</w:t>
      </w:r>
      <w:r w:rsidRPr="00C547E4">
        <w:rPr>
          <w:rFonts w:ascii="KFGQPC Uthman Taha Naskh" w:cs="KFGQPC Uthman Taha Naskh"/>
          <w:color w:val="008000"/>
          <w:w w:val="96"/>
          <w:sz w:val="24"/>
          <w:szCs w:val="24"/>
          <w:rtl/>
        </w:rPr>
        <w:t xml:space="preserve">: </w:t>
      </w:r>
      <w:r w:rsidRPr="00C547E4">
        <w:rPr>
          <w:rFonts w:ascii="KFGQPC Uthman Taha Naskh" w:cs="KFGQPC Uthman Taha Naskh" w:hint="cs"/>
          <w:color w:val="008000"/>
          <w:w w:val="96"/>
          <w:sz w:val="24"/>
          <w:szCs w:val="24"/>
          <w:rtl/>
        </w:rPr>
        <w:t>٦،</w:t>
      </w:r>
      <w:r w:rsidRPr="00C547E4">
        <w:rPr>
          <w:rFonts w:ascii="KFGQPC Uthman Taha Naskh" w:cs="KFGQPC Uthman Taha Naskh"/>
          <w:color w:val="008000"/>
          <w:w w:val="96"/>
          <w:sz w:val="24"/>
          <w:szCs w:val="24"/>
          <w:rtl/>
        </w:rPr>
        <w:t xml:space="preserve">  </w:t>
      </w:r>
      <w:r w:rsidRPr="00C547E4">
        <w:rPr>
          <w:rFonts w:ascii="KFGQPC Uthman Taha Naskh" w:cs="KFGQPC Uthman Taha Naskh" w:hint="cs"/>
          <w:color w:val="008000"/>
          <w:w w:val="96"/>
          <w:sz w:val="24"/>
          <w:szCs w:val="24"/>
          <w:rtl/>
        </w:rPr>
        <w:t>٨</w:t>
      </w:r>
      <w:r w:rsidRPr="00C547E4">
        <w:rPr>
          <w:rFonts w:ascii="KFGQPC Uthman Taha Naskh" w:cs="KFGQPC Uthman Taha Naskh"/>
          <w:color w:val="008000"/>
          <w:w w:val="96"/>
          <w:sz w:val="24"/>
          <w:szCs w:val="24"/>
          <w:rtl/>
        </w:rPr>
        <w:t xml:space="preserve">]  </w:t>
      </w:r>
    </w:p>
    <w:p w:rsidR="00C547E4" w:rsidRPr="00C547E4" w:rsidRDefault="00C547E4" w:rsidP="00C547E4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C547E4">
        <w:rPr>
          <w:rFonts w:ascii="Kalpurush" w:hAnsi="Kalpurush" w:cs="Kalpurush"/>
          <w:sz w:val="24"/>
          <w:szCs w:val="24"/>
          <w:cs/>
          <w:lang w:bidi="bn-BD"/>
        </w:rPr>
        <w:lastRenderedPageBreak/>
        <w:t>“আমাদেরকে সরল পথের হিদায়াত দিন, তাদের পথ, যাদেরকে নি</w:t>
      </w:r>
      <w:r w:rsidRPr="00C547E4">
        <w:rPr>
          <w:rFonts w:ascii="Kalpurush" w:hAnsi="Kalpurush" w:cs="Kalpurush"/>
          <w:sz w:val="24"/>
          <w:szCs w:val="24"/>
          <w:lang w:bidi="bn-BD"/>
        </w:rPr>
        <w:t>‘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আমত দিয়েছেন”</w:t>
      </w:r>
      <w:r w:rsidRPr="003669DB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Pr="003669DB">
        <w:rPr>
          <w:rFonts w:ascii="Kalpurush" w:hAnsi="Kalpurush" w:cs="Kalpurush"/>
          <w:sz w:val="24"/>
          <w:szCs w:val="24"/>
          <w:cs/>
          <w:lang w:bidi="bn-IN"/>
        </w:rPr>
        <w:t>সূরা আল</w:t>
      </w:r>
      <w:r w:rsidRPr="003669DB">
        <w:rPr>
          <w:rFonts w:ascii="Kalpurush" w:hAnsi="Kalpurush" w:cs="Kalpurush"/>
          <w:sz w:val="24"/>
          <w:szCs w:val="24"/>
          <w:cs/>
          <w:lang w:bidi="bn-BD"/>
        </w:rPr>
        <w:t>-ফা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তেহা, আয়াত: ৬-৭]</w:t>
      </w:r>
      <w:r w:rsidRPr="00C547E4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"/>
      </w:r>
    </w:p>
    <w:p w:rsidR="00C547E4" w:rsidRPr="00C547E4" w:rsidRDefault="00C547E4" w:rsidP="003669DB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 xml:space="preserve">শাইখুল ইসলাম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অন্যত্র বলেন: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 xml:space="preserve"> “বান্দার ওপর আল্লাহর সবচেয়ে বড় নি</w:t>
      </w:r>
      <w:r w:rsidRPr="00C547E4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আমত ও অনুগ্রহ হচ্ছে যে, তিনি তাদের জন্য স্বীয় রাসূল প্রেরণ করেছেন, তাদের ওপর স্বীয় কিতাব নাযিল করেছেন এবং ত</w:t>
      </w:r>
      <w:r w:rsidR="003669DB">
        <w:rPr>
          <w:rFonts w:ascii="Kalpurush" w:hAnsi="Kalpurush" w:cs="Kalpurush" w:hint="cs"/>
          <w:sz w:val="24"/>
          <w:szCs w:val="24"/>
          <w:cs/>
          <w:lang w:bidi="bn-BD"/>
        </w:rPr>
        <w:t>াদের জন্য সঠিক পথ বাতলে দিয়েছেন।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 xml:space="preserve"> যদি এরূপ না হত, তাহলে তারা চতুষ্পদ জন্তুর </w:t>
      </w:r>
      <w:r w:rsidR="003669DB">
        <w:rPr>
          <w:rFonts w:ascii="Kalpurush" w:hAnsi="Kalpurush" w:cs="Kalpurush" w:hint="cs"/>
          <w:sz w:val="24"/>
          <w:szCs w:val="24"/>
          <w:cs/>
          <w:lang w:bidi="bn-BD"/>
        </w:rPr>
        <w:t>মত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 xml:space="preserve"> হ</w:t>
      </w:r>
      <w:r w:rsidR="003669DB">
        <w:rPr>
          <w:rFonts w:ascii="Kalpurush" w:hAnsi="Kalpurush" w:cs="Kalpurush" w:hint="cs"/>
          <w:sz w:val="24"/>
          <w:szCs w:val="24"/>
          <w:cs/>
          <w:lang w:bidi="bn-BD"/>
        </w:rPr>
        <w:t>য়ে যেত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, কিংবা তার চেয়েও নিকৃষ্ট হত। অতএব যে আল্লাহর রিসালাত গ্রহণ করল ও তার ওপর প্রতিষ্ঠিত থাকল, সেই পার্থিব জগতে সবচেয়ে উত্তম, আর যে তা প্রত্যাখ্যান করল ও তার থেকে বিচ্যুত হল, সেই পার্থি</w:t>
      </w:r>
      <w:r w:rsidR="003669DB">
        <w:rPr>
          <w:rFonts w:ascii="Kalpurush" w:hAnsi="Kalpurush" w:cs="Kalpurush" w:hint="cs"/>
          <w:sz w:val="24"/>
          <w:szCs w:val="24"/>
          <w:cs/>
          <w:lang w:bidi="bn-BD"/>
        </w:rPr>
        <w:t>ব জগতে সবচেয়ে নিকৃষ্ট, কুকুর, শূ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কর ও চতুষ্পদ জন্তু থেকেও ঘৃণিত”।</w:t>
      </w:r>
      <w:r w:rsidRPr="00C547E4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2"/>
      </w:r>
    </w:p>
    <w:p w:rsidR="00C547E4" w:rsidRPr="00C547E4" w:rsidRDefault="00C547E4" w:rsidP="003669DB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এ থেকে স্পষ্ট হল</w:t>
      </w:r>
      <w:r w:rsidR="003669DB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 xml:space="preserve"> যে, বান্দার ওপর আল্লাহর সবচেয়ে বড় নি</w:t>
      </w:r>
      <w:r w:rsidRPr="00C547E4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আমত হচ্ছে আল্লাহ ও তার রাসূলদের প্রতি ঈমান এবং তার দীন ও শরী‘আতকে আঁকড়ে থাকার তাওফীক</w:t>
      </w:r>
      <w:r w:rsidRPr="003669D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আল্লাহ যেহেতু সকল মখলুকের স্রষ্টা, তিনি মানব জাতিরও স্রষ্টা, তাদের পরিকল্পনা ও নিয়ন্ত্রণকারী। তিনি ধৈর্যশীল, মখলুককে তার অপরাধের কারণে দ্রুত শাস্তি প্রদান করেন না, তাদের অপরাধ ও কৃতকর্মের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দরুন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তাদেরকে পাকড়াও করেন না। আল্লাহর এসব দয়া শুধু তাদের পক্ষেই নি</w:t>
      </w:r>
      <w:r w:rsidRPr="00C547E4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 xml:space="preserve">আমত, যারা তাকে চিনে, তার ওপর ঈমান আনে ও তার হিদায়াতের অনুসরণ করে, কিন্তু যে তার সাথে কুফুরীতে লিপ্ত হয়, তার নাফরমানী করে, তার ধৈর্যশীলতার সুযোগে দাম্ভিক হয়, তার জন্য এসব উল্টো শাস্তি, অতিরিক্ত পাপ ও দুর্ভোগের কারণ।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দুনিয়াব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ী নি</w:t>
      </w:r>
      <w:r w:rsidRPr="00C547E4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আমতও তার জন্য শাস্তির কারণ যেমন, রি</w:t>
      </w:r>
      <w:r w:rsidR="003669DB">
        <w:rPr>
          <w:rFonts w:ascii="Kalpurush" w:hAnsi="Kalpurush" w:cs="Kalpurush" w:hint="cs"/>
          <w:sz w:val="24"/>
          <w:szCs w:val="24"/>
          <w:cs/>
          <w:lang w:bidi="bn-BD"/>
        </w:rPr>
        <w:t>যি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ক, সুস্থতা, সম্পদ ও সন্তান ইত্যাদি। হ্যাঁ, এসব তার পক্ষেই নি‘আমত, যে এসব নি‘আমতের কদ</w:t>
      </w:r>
      <w:r w:rsidR="003669DB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 xml:space="preserve"> করে ও আল্লাহর শোকর আদায় করে, কিন্তু যে তা চিনে না ও আল্লাহর নাফরমানি করে, তার পক্ষে এসব কখনো নি</w:t>
      </w:r>
      <w:r w:rsidRPr="00C547E4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আমত নয়।</w:t>
      </w:r>
    </w:p>
    <w:p w:rsidR="00C547E4" w:rsidRPr="00C547E4" w:rsidRDefault="00C547E4" w:rsidP="00C547E4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শাইখুল ইসলাম ইবন তাইমিয়্যাহ রহ. বলেন: “বান্দার ওপর আল্লাহর সবচেয়ে বড় নি</w:t>
      </w:r>
      <w:r w:rsidRPr="00C547E4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আমত ঈমান, যা কথা ও কর্মের সমষ্টি। ঈমান বর্ধিত হয় ও হ্রাস পায়, অর্থাৎ ইবাদত ও নেক আমলের কারণ</w:t>
      </w:r>
      <w:r w:rsidR="00060FFE">
        <w:rPr>
          <w:rFonts w:ascii="Kalpurush" w:hAnsi="Kalpurush" w:cs="Kalpurush" w:hint="cs"/>
          <w:sz w:val="24"/>
          <w:szCs w:val="24"/>
          <w:cs/>
          <w:lang w:bidi="bn-BD"/>
        </w:rPr>
        <w:t>ে ঈমান বর্ধিত হয়, পাপ ও নাফরমানী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র কারণে হ্রাস পায়। মানুষ যখন তার নেক আমল বাড়িয়ে দেয়, তার ঈমান বর্ধিত হয়। এ কথাই আল্লাহ নিম্নের আয়াতে বলেছেন:</w:t>
      </w:r>
    </w:p>
    <w:p w:rsidR="00C547E4" w:rsidRPr="003669DB" w:rsidRDefault="00C547E4" w:rsidP="00C547E4">
      <w:pPr>
        <w:spacing w:after="0"/>
        <w:jc w:val="both"/>
        <w:rPr>
          <w:rFonts w:ascii="Kalpurush" w:hAnsi="Kalpurush" w:cs="Kalpurush"/>
          <w:w w:val="96"/>
          <w:sz w:val="24"/>
          <w:szCs w:val="24"/>
          <w:cs/>
          <w:lang w:bidi="bn-BD"/>
        </w:rPr>
      </w:pPr>
      <w:r w:rsidRPr="00C547E4">
        <w:rPr>
          <w:rFonts w:ascii="KFGQPC Uthman Taha Naskh" w:cs="KFGQPC Uthman Taha Naskh" w:hint="cs"/>
          <w:color w:val="008000"/>
          <w:w w:val="96"/>
          <w:sz w:val="24"/>
          <w:szCs w:val="24"/>
          <w:rtl/>
        </w:rPr>
        <w:t>﴿</w:t>
      </w:r>
      <w:r w:rsidRPr="00C547E4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ٱهۡدِنَا</w:t>
      </w:r>
      <w:r w:rsidRPr="00C547E4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C547E4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ٱلصِّرَٰطَ</w:t>
      </w:r>
      <w:r w:rsidRPr="00C547E4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C547E4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ٱلۡمُسۡتَقِيمَ</w:t>
      </w:r>
      <w:r w:rsidRPr="00C547E4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C547E4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٦</w:t>
      </w:r>
      <w:r w:rsidRPr="00C547E4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C547E4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صِرَٰطَ</w:t>
      </w:r>
      <w:r w:rsidRPr="00C547E4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C547E4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ٱلَّذِينَ</w:t>
      </w:r>
      <w:r w:rsidRPr="00C547E4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C547E4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أَنۡعَمۡتَ</w:t>
      </w:r>
      <w:r w:rsidRPr="00C547E4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C547E4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عَلَيۡهِمۡ</w:t>
      </w:r>
      <w:r w:rsidRPr="00C547E4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C547E4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٧</w:t>
      </w:r>
      <w:r w:rsidRPr="00C547E4">
        <w:rPr>
          <w:rFonts w:ascii="KFGQPC Uthman Taha Naskh" w:cs="KFGQPC Uthman Taha Naskh" w:hint="cs"/>
          <w:color w:val="008000"/>
          <w:w w:val="96"/>
          <w:sz w:val="24"/>
          <w:szCs w:val="24"/>
          <w:rtl/>
        </w:rPr>
        <w:t>﴾</w:t>
      </w:r>
      <w:r w:rsidRPr="00C547E4">
        <w:rPr>
          <w:rFonts w:ascii="KFGQPC Uthman Taha Naskh" w:cs="KFGQPC Uthman Taha Naskh"/>
          <w:color w:val="008000"/>
          <w:w w:val="96"/>
          <w:sz w:val="24"/>
          <w:szCs w:val="24"/>
          <w:rtl/>
        </w:rPr>
        <w:t xml:space="preserve"> [</w:t>
      </w:r>
      <w:r w:rsidRPr="00C547E4">
        <w:rPr>
          <w:rFonts w:ascii="KFGQPC Uthman Taha Naskh" w:cs="KFGQPC Uthman Taha Naskh" w:hint="cs"/>
          <w:color w:val="008000"/>
          <w:w w:val="96"/>
          <w:sz w:val="24"/>
          <w:szCs w:val="24"/>
          <w:rtl/>
        </w:rPr>
        <w:t>الفاتحة</w:t>
      </w:r>
      <w:r w:rsidRPr="00C547E4">
        <w:rPr>
          <w:rFonts w:ascii="KFGQPC Uthman Taha Naskh" w:cs="KFGQPC Uthman Taha Naskh"/>
          <w:color w:val="008000"/>
          <w:w w:val="96"/>
          <w:sz w:val="24"/>
          <w:szCs w:val="24"/>
          <w:rtl/>
        </w:rPr>
        <w:t xml:space="preserve">: </w:t>
      </w:r>
      <w:r w:rsidRPr="00C547E4">
        <w:rPr>
          <w:rFonts w:ascii="KFGQPC Uthman Taha Naskh" w:cs="KFGQPC Uthman Taha Naskh" w:hint="cs"/>
          <w:color w:val="008000"/>
          <w:w w:val="96"/>
          <w:sz w:val="24"/>
          <w:szCs w:val="24"/>
          <w:rtl/>
        </w:rPr>
        <w:t>٦،</w:t>
      </w:r>
      <w:r w:rsidRPr="00C547E4">
        <w:rPr>
          <w:rFonts w:ascii="KFGQPC Uthman Taha Naskh" w:cs="KFGQPC Uthman Taha Naskh"/>
          <w:color w:val="008000"/>
          <w:w w:val="96"/>
          <w:sz w:val="24"/>
          <w:szCs w:val="24"/>
          <w:rtl/>
        </w:rPr>
        <w:t xml:space="preserve">  </w:t>
      </w:r>
      <w:r w:rsidRPr="00C547E4">
        <w:rPr>
          <w:rFonts w:ascii="KFGQPC Uthman Taha Naskh" w:cs="KFGQPC Uthman Taha Naskh" w:hint="cs"/>
          <w:color w:val="008000"/>
          <w:w w:val="96"/>
          <w:sz w:val="24"/>
          <w:szCs w:val="24"/>
          <w:rtl/>
        </w:rPr>
        <w:t>٨</w:t>
      </w:r>
      <w:r w:rsidRPr="00C547E4">
        <w:rPr>
          <w:rFonts w:ascii="KFGQPC Uthman Taha Naskh" w:cs="KFGQPC Uthman Taha Naskh"/>
          <w:color w:val="008000"/>
          <w:w w:val="96"/>
          <w:sz w:val="24"/>
          <w:szCs w:val="24"/>
          <w:rtl/>
        </w:rPr>
        <w:t xml:space="preserve">]  </w:t>
      </w:r>
    </w:p>
    <w:p w:rsidR="00C547E4" w:rsidRPr="00C547E4" w:rsidRDefault="00C547E4" w:rsidP="00C547E4">
      <w:pPr>
        <w:bidi w:val="0"/>
        <w:spacing w:after="0"/>
        <w:jc w:val="both"/>
        <w:rPr>
          <w:rFonts w:ascii="Kalpurush" w:hAnsi="Kalpurush"/>
          <w:sz w:val="24"/>
          <w:szCs w:val="24"/>
          <w:rtl/>
        </w:rPr>
      </w:pPr>
      <w:r w:rsidRPr="00C547E4">
        <w:rPr>
          <w:rFonts w:ascii="Kalpurush" w:hAnsi="Kalpurush" w:cs="Kalpurush"/>
          <w:sz w:val="24"/>
          <w:szCs w:val="24"/>
          <w:cs/>
          <w:lang w:bidi="bn-BD"/>
        </w:rPr>
        <w:t>“আমাদেরকে সরল পথের হিদায়াত দিন, তাদের পথ, যাদেরকে নি</w:t>
      </w:r>
      <w:r w:rsidRPr="00C547E4">
        <w:rPr>
          <w:rFonts w:ascii="Kalpurush" w:hAnsi="Kalpurush" w:cs="Kalpurush"/>
          <w:sz w:val="24"/>
          <w:szCs w:val="24"/>
          <w:lang w:bidi="bn-BD"/>
        </w:rPr>
        <w:t>‘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আমত দিয়েছেন”</w:t>
      </w:r>
      <w:r w:rsidRPr="003669DB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Pr="003669DB">
        <w:rPr>
          <w:rFonts w:ascii="Kalpurush" w:hAnsi="Kalpurush" w:cs="Kalpurush"/>
          <w:sz w:val="24"/>
          <w:szCs w:val="24"/>
          <w:cs/>
          <w:lang w:bidi="bn-BD"/>
        </w:rPr>
        <w:t>[</w:t>
      </w:r>
      <w:r w:rsidRPr="003669DB">
        <w:rPr>
          <w:rFonts w:ascii="Kalpurush" w:hAnsi="Kalpurush" w:cs="Kalpurush"/>
          <w:sz w:val="24"/>
          <w:szCs w:val="24"/>
          <w:cs/>
          <w:lang w:bidi="bn-IN"/>
        </w:rPr>
        <w:t>সূরা আল</w:t>
      </w:r>
      <w:r w:rsidRPr="003669DB">
        <w:rPr>
          <w:rFonts w:ascii="Kalpurush" w:hAnsi="Kalpurush" w:cs="Kalpurush"/>
          <w:sz w:val="24"/>
          <w:szCs w:val="24"/>
          <w:cs/>
          <w:lang w:bidi="bn-BD"/>
        </w:rPr>
        <w:t>-ফা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তেহা, আয়াত: ৬-৭]</w:t>
      </w:r>
      <w:r w:rsidRPr="00C547E4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3"/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 xml:space="preserve"> বরং দুনিয়ার সবচেয়ে বড় নি</w:t>
      </w:r>
      <w:r w:rsidRPr="00C547E4">
        <w:rPr>
          <w:rFonts w:ascii="Kalpurush" w:hAnsi="Kalpurush" w:cs="Kalpurush"/>
          <w:sz w:val="24"/>
          <w:szCs w:val="24"/>
          <w:lang w:bidi="bn-BD"/>
        </w:rPr>
        <w:t>‘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আমত দীনের নি</w:t>
      </w:r>
      <w:r w:rsidRPr="00C547E4">
        <w:rPr>
          <w:rFonts w:ascii="Kalpurush" w:hAnsi="Kalpurush" w:cs="Kalpurush"/>
          <w:sz w:val="24"/>
          <w:szCs w:val="24"/>
          <w:lang w:bidi="bn-BD"/>
        </w:rPr>
        <w:t>‘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আমত।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দুনিয়া নি</w:t>
      </w:r>
      <w:r w:rsidRPr="00C547E4">
        <w:rPr>
          <w:rFonts w:ascii="Kalpurush" w:hAnsi="Kalpurush" w:cs="Kalpurush"/>
          <w:sz w:val="24"/>
          <w:szCs w:val="24"/>
          <w:lang w:bidi="bn-BD"/>
        </w:rPr>
        <w:t>‘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আমত কি না, এ বিষয়ে আলেমদের দু’ধরণের অভিমত রয়েছে। সঠিক কথা হচ্ছে, এক বিবেচনায় নি</w:t>
      </w:r>
      <w:r w:rsidRPr="00C547E4">
        <w:rPr>
          <w:rFonts w:ascii="Kalpurush" w:hAnsi="Kalpurush" w:cs="Kalpurush"/>
          <w:sz w:val="24"/>
          <w:szCs w:val="24"/>
          <w:lang w:bidi="bn-BD"/>
        </w:rPr>
        <w:t>‘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আমত, যদিও সকল বিবেচনায় নি</w:t>
      </w:r>
      <w:r w:rsidRPr="00C547E4">
        <w:rPr>
          <w:rFonts w:ascii="Kalpurush" w:hAnsi="Kalpurush" w:cs="Kalpurush"/>
          <w:sz w:val="24"/>
          <w:szCs w:val="24"/>
          <w:lang w:bidi="bn-BD"/>
        </w:rPr>
        <w:t>‘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আমত নয়। পক্ষান্তরে দীনের নি</w:t>
      </w:r>
      <w:r w:rsidRPr="00C547E4">
        <w:rPr>
          <w:rFonts w:ascii="Kalpurush" w:hAnsi="Kalpurush" w:cs="Kalpurush"/>
          <w:sz w:val="24"/>
          <w:szCs w:val="24"/>
          <w:lang w:bidi="bn-BD"/>
        </w:rPr>
        <w:t>‘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আমত, যেমন নেক আমল করা ও পাপ থেকে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 xml:space="preserve"> সুরক্ষার তাওফীক হাসিল করা সকল বিবেচনায় নি</w:t>
      </w:r>
      <w:r w:rsidRPr="00C547E4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 xml:space="preserve">আমত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ও কল্যাণ, এটিই আহলে সুন্ন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ত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 xml:space="preserve"> ওয়াল জামা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তের নিকট সত্যিকার নি</w:t>
      </w:r>
      <w:r w:rsidRPr="00C547E4">
        <w:rPr>
          <w:rFonts w:ascii="Kalpurush" w:hAnsi="Kalpurush" w:cs="Kalpurush"/>
          <w:sz w:val="24"/>
          <w:szCs w:val="24"/>
          <w:lang w:bidi="bn-BD"/>
        </w:rPr>
        <w:t>‘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আমত”</w:t>
      </w:r>
      <w:r w:rsidRPr="003669D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C547E4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4"/>
      </w:r>
    </w:p>
    <w:p w:rsidR="00C547E4" w:rsidRPr="00C547E4" w:rsidRDefault="00C547E4" w:rsidP="00C547E4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মুদ্দাকথা: বান্দার ওপর আল্লাহর সবচেয়ে বড় নি</w:t>
      </w:r>
      <w:r w:rsidRPr="00C547E4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 xml:space="preserve">আমত তাদেরকে আল্লাহর পরিচয় ও তার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তাওহীদের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 xml:space="preserve"> জ্ঞান দেওয়া, তার রাসূলের অনুসরণ ও তার শরী‘আত আঁকড়ে থাকার তাওফীক প্রদান করা।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আর দুনিয়া তার পক্ষেই নি</w:t>
      </w:r>
      <w:r w:rsidRPr="00C547E4">
        <w:rPr>
          <w:rFonts w:ascii="Kalpurush" w:hAnsi="Kalpurush" w:cs="Kalpurush"/>
          <w:sz w:val="24"/>
          <w:szCs w:val="24"/>
          <w:lang w:bidi="bn-BD"/>
        </w:rPr>
        <w:t>‘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আমত, যে তা সঠিক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 xml:space="preserve">ভাবে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 xml:space="preserve">ব্যয় 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 xml:space="preserve">করে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ও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>আল্লাহর ইবাদ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C547E4">
        <w:rPr>
          <w:rFonts w:ascii="Kalpurush" w:hAnsi="Kalpurush" w:cs="Kalpurush"/>
          <w:sz w:val="24"/>
          <w:szCs w:val="24"/>
          <w:cs/>
          <w:lang w:bidi="bn-BD"/>
        </w:rPr>
        <w:t xml:space="preserve">তের </w:t>
      </w:r>
      <w:r w:rsidRPr="00C547E4">
        <w:rPr>
          <w:rFonts w:ascii="Kalpurush" w:hAnsi="Kalpurush" w:cs="Kalpurush" w:hint="cs"/>
          <w:sz w:val="24"/>
          <w:szCs w:val="24"/>
          <w:cs/>
          <w:lang w:bidi="bn-BD"/>
        </w:rPr>
        <w:t xml:space="preserve">জন্য খরচ করে। </w:t>
      </w:r>
      <w:r w:rsidRPr="00C547E4">
        <w:rPr>
          <w:rFonts w:ascii="Kalpurush" w:hAnsi="Kalpurush" w:cs="Kalpurush"/>
          <w:sz w:val="24"/>
          <w:szCs w:val="24"/>
          <w:cs/>
          <w:lang w:bidi="bn-IN"/>
        </w:rPr>
        <w:t>আল্লাহ ভালো জানেন।</w:t>
      </w:r>
    </w:p>
    <w:p w:rsidR="00C547E4" w:rsidRPr="00C547E4" w:rsidRDefault="00C547E4" w:rsidP="00C547E4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547E4">
        <w:rPr>
          <w:rFonts w:ascii="Kalpurush" w:hAnsi="Kalpurush" w:cs="Kalpurush"/>
          <w:sz w:val="24"/>
          <w:szCs w:val="24"/>
          <w:cs/>
          <w:lang w:bidi="bn-BD"/>
        </w:rPr>
        <w:t>সূত্র</w:t>
      </w:r>
      <w:r w:rsidRPr="00C547E4">
        <w:rPr>
          <w:rFonts w:ascii="Kalpurush" w:hAnsi="Kalpurush" w:cs="Kalpurush"/>
          <w:sz w:val="24"/>
          <w:szCs w:val="24"/>
          <w:lang w:bidi="bn-BD"/>
        </w:rPr>
        <w:t>:</w:t>
      </w:r>
    </w:p>
    <w:p w:rsidR="00C547E4" w:rsidRPr="00C547E4" w:rsidRDefault="00C547E4" w:rsidP="00C547E4">
      <w:pPr>
        <w:spacing w:after="0"/>
        <w:jc w:val="center"/>
        <w:rPr>
          <w:rFonts w:ascii="Times New Roman" w:eastAsia="Times New Roman" w:hAnsi="Times New Roman" w:cs="KFGQPC Uthman Taha Naskh"/>
          <w:sz w:val="24"/>
          <w:szCs w:val="24"/>
          <w:rtl/>
        </w:rPr>
      </w:pPr>
      <w:r w:rsidRPr="00C547E4">
        <w:rPr>
          <w:rFonts w:ascii="Kalpurush" w:hAnsi="Kalpurush" w:cs="KFGQPC Uthman Taha Naskh" w:hint="cs"/>
          <w:sz w:val="24"/>
          <w:szCs w:val="24"/>
          <w:rtl/>
        </w:rPr>
        <w:t xml:space="preserve">موقع </w:t>
      </w:r>
      <w:r w:rsidRPr="00C547E4">
        <w:rPr>
          <w:rFonts w:ascii="Times New Roman" w:eastAsia="Times New Roman" w:hAnsi="Times New Roman" w:cs="KFGQPC Uthman Taha Naskh"/>
          <w:sz w:val="24"/>
          <w:szCs w:val="24"/>
          <w:rtl/>
        </w:rPr>
        <w:t>الإسلام سؤال وجواب</w:t>
      </w:r>
    </w:p>
    <w:p w:rsidR="00C547E4" w:rsidRDefault="00C547E4">
      <w:pPr>
        <w:bidi w:val="0"/>
        <w:rPr>
          <w:rFonts w:ascii="Times New Roman" w:eastAsia="Times New Roman" w:hAnsi="Times New Roman" w:cs="KFGQPC Uthman Taha Naskh"/>
          <w:sz w:val="24"/>
          <w:szCs w:val="24"/>
          <w:rtl/>
        </w:rPr>
      </w:pPr>
      <w:r>
        <w:rPr>
          <w:rFonts w:ascii="Times New Roman" w:eastAsia="Times New Roman" w:hAnsi="Times New Roman" w:cs="KFGQPC Uthman Taha Naskh"/>
          <w:sz w:val="24"/>
          <w:szCs w:val="24"/>
          <w:rtl/>
        </w:rPr>
        <w:br w:type="page"/>
      </w:r>
    </w:p>
    <w:p w:rsidR="002C2993" w:rsidRPr="00C547E4" w:rsidRDefault="002C2993" w:rsidP="00C547E4">
      <w:pPr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C90E54" w:rsidRPr="00DF7E4B" w:rsidRDefault="00C90E54" w:rsidP="00C547E4">
      <w:pPr>
        <w:bidi w:val="0"/>
        <w:spacing w:after="0"/>
        <w:ind w:firstLine="397"/>
        <w:jc w:val="both"/>
        <w:rPr>
          <w:rFonts w:asciiTheme="majorBidi" w:hAnsiTheme="majorBidi" w:cstheme="majorBidi"/>
          <w:sz w:val="44"/>
          <w:szCs w:val="44"/>
          <w:lang w:bidi="ar-EG"/>
        </w:rPr>
      </w:pPr>
    </w:p>
    <w:p w:rsidR="00C90E54" w:rsidRPr="00DF7E4B" w:rsidRDefault="00C90E54" w:rsidP="00C547E4">
      <w:pPr>
        <w:bidi w:val="0"/>
        <w:spacing w:after="0"/>
        <w:ind w:firstLine="397"/>
        <w:jc w:val="both"/>
        <w:rPr>
          <w:rFonts w:asciiTheme="majorBidi" w:hAnsiTheme="majorBidi" w:cstheme="majorBidi"/>
          <w:sz w:val="44"/>
          <w:szCs w:val="44"/>
          <w:lang w:bidi="ar-EG"/>
        </w:rPr>
      </w:pPr>
    </w:p>
    <w:p w:rsidR="00F2420A" w:rsidRPr="00DF7E4B" w:rsidRDefault="00DC6A8E" w:rsidP="00C547E4">
      <w:pPr>
        <w:tabs>
          <w:tab w:val="center" w:pos="4535"/>
        </w:tabs>
        <w:bidi w:val="0"/>
        <w:spacing w:after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221EE059" wp14:editId="15917619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C547E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C547E4">
      <w:pPr>
        <w:bidi w:val="0"/>
        <w:spacing w:after="0"/>
        <w:jc w:val="both"/>
        <w:rPr>
          <w:rFonts w:asciiTheme="majorBidi" w:hAnsiTheme="majorBidi" w:cstheme="majorBidi"/>
          <w:color w:val="006666"/>
          <w:sz w:val="32"/>
          <w:szCs w:val="32"/>
          <w:rtl/>
        </w:rPr>
      </w:pPr>
    </w:p>
    <w:sectPr w:rsidR="005666DC" w:rsidRPr="00DF7E4B" w:rsidSect="00CF145D">
      <w:headerReference w:type="first" r:id="rId12"/>
      <w:pgSz w:w="11907" w:h="16840" w:code="9"/>
      <w:pgMar w:top="1440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584C" w:rsidRDefault="005C584C" w:rsidP="00E32771">
      <w:pPr>
        <w:spacing w:after="0" w:line="240" w:lineRule="auto"/>
      </w:pPr>
      <w:r>
        <w:separator/>
      </w:r>
    </w:p>
  </w:endnote>
  <w:endnote w:type="continuationSeparator" w:id="0">
    <w:p w:rsidR="005C584C" w:rsidRDefault="005C584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26C96CE-293A-44F8-BBDA-7E647723281F}"/>
    <w:embedBold r:id="rId2" w:fontKey="{C69DDD61-73DC-46D8-924F-1F1CC1869E0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DF18664-9BEE-4A51-B566-07950BD934F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024F7B7F-4EB8-407B-8D08-29727C86D30E}"/>
    <w:embedBold r:id="rId5" w:fontKey="{9568B6DE-E77C-468B-BB21-0EEB6A3B82A9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1D16633F-4EC4-4FE7-B79B-1944E441239D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7" w:fontKey="{4618E7CF-2E42-4662-862E-D5BED8A74A70}"/>
    <w:embedBold r:id="rId8" w:fontKey="{DE570006-507B-4B90-ADBD-331FE6F29289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9" w:fontKey="{27E6B595-23AA-472E-8FAE-9B7B87615A0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EBD2B367-5B29-4989-AFE3-329FAC56BE2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59BBD653-8CFF-4D46-8BDC-7FFCF2256294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2" w:fontKey="{365F2F8E-F724-4F36-BC21-D5010A599A54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3" w:fontKey="{BD46878D-60B1-4211-BAF4-9529E4517821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4" w:fontKey="{8FE09AA8-AE9C-4E12-BF3E-D2ECBB9BAA3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D9D955DC-76C7-44CF-B78C-78DFD39645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266CDDA" wp14:editId="7CF4048D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B17B78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584C" w:rsidRDefault="005C584C" w:rsidP="003669DB">
      <w:pPr>
        <w:spacing w:after="0" w:line="240" w:lineRule="auto"/>
        <w:jc w:val="right"/>
      </w:pPr>
      <w:r>
        <w:separator/>
      </w:r>
    </w:p>
  </w:footnote>
  <w:footnote w:type="continuationSeparator" w:id="0">
    <w:p w:rsidR="005C584C" w:rsidRDefault="005C584C" w:rsidP="00E32771">
      <w:pPr>
        <w:spacing w:after="0" w:line="240" w:lineRule="auto"/>
      </w:pPr>
      <w:r>
        <w:continuationSeparator/>
      </w:r>
    </w:p>
  </w:footnote>
  <w:footnote w:id="1">
    <w:p w:rsidR="00C547E4" w:rsidRPr="00C547E4" w:rsidRDefault="00C547E4" w:rsidP="00C547E4">
      <w:pPr>
        <w:pStyle w:val="FootnoteText"/>
        <w:jc w:val="both"/>
        <w:rPr>
          <w:rFonts w:ascii="Kalpurush" w:hAnsi="Kalpurush" w:cs="Kalpurush"/>
          <w:cs/>
          <w:lang w:bidi="bn-BD"/>
        </w:rPr>
      </w:pPr>
      <w:r w:rsidRPr="00C547E4">
        <w:rPr>
          <w:rStyle w:val="FootnoteReference"/>
          <w:rFonts w:ascii="Kalpurush" w:hAnsi="Kalpurush" w:cs="Kalpurush"/>
        </w:rPr>
        <w:footnoteRef/>
      </w:r>
      <w:r w:rsidRPr="00C547E4">
        <w:rPr>
          <w:rFonts w:ascii="Kalpurush" w:hAnsi="Kalpurush" w:cs="Kalpurush"/>
        </w:rPr>
        <w:t xml:space="preserve"> </w:t>
      </w:r>
      <w:r w:rsidRPr="00C547E4">
        <w:rPr>
          <w:rFonts w:ascii="Kalpurush" w:hAnsi="Kalpurush" w:cs="Kalpurush"/>
          <w:cs/>
          <w:lang w:val="en-US" w:bidi="bn-BD"/>
        </w:rPr>
        <w:t>জামেউল মাসায়েল: (৪/২৮৪)</w:t>
      </w:r>
    </w:p>
  </w:footnote>
  <w:footnote w:id="2">
    <w:p w:rsidR="00C547E4" w:rsidRPr="00C547E4" w:rsidRDefault="00C547E4" w:rsidP="00C547E4">
      <w:pPr>
        <w:pStyle w:val="FootnoteText"/>
        <w:jc w:val="both"/>
        <w:rPr>
          <w:rFonts w:ascii="Kalpurush" w:hAnsi="Kalpurush" w:cs="Kalpurush"/>
          <w:cs/>
          <w:lang w:bidi="bn-BD"/>
        </w:rPr>
      </w:pPr>
      <w:r w:rsidRPr="00C547E4">
        <w:rPr>
          <w:rStyle w:val="FootnoteReference"/>
          <w:rFonts w:ascii="Kalpurush" w:hAnsi="Kalpurush" w:cs="Kalpurush"/>
        </w:rPr>
        <w:footnoteRef/>
      </w:r>
      <w:r w:rsidRPr="00C547E4">
        <w:rPr>
          <w:rFonts w:ascii="Kalpurush" w:hAnsi="Kalpurush" w:cs="Kalpurush"/>
        </w:rPr>
        <w:t xml:space="preserve"> </w:t>
      </w:r>
      <w:r w:rsidRPr="00C547E4">
        <w:rPr>
          <w:rFonts w:ascii="Kalpurush" w:hAnsi="Kalpurush" w:cs="Kalpurush"/>
          <w:cs/>
          <w:lang w:val="en-US" w:bidi="bn-BD"/>
        </w:rPr>
        <w:t>মাজমুউল ফতোয়া: (১৯/১০০)</w:t>
      </w:r>
    </w:p>
  </w:footnote>
  <w:footnote w:id="3">
    <w:p w:rsidR="00C547E4" w:rsidRPr="00C547E4" w:rsidRDefault="00C547E4" w:rsidP="00C547E4">
      <w:pPr>
        <w:pStyle w:val="FootnoteText"/>
        <w:jc w:val="both"/>
        <w:rPr>
          <w:rFonts w:ascii="Kalpurush" w:hAnsi="Kalpurush" w:cs="Kalpurush"/>
          <w:cs/>
          <w:lang w:bidi="bn-BD"/>
        </w:rPr>
      </w:pPr>
      <w:r w:rsidRPr="00C547E4">
        <w:rPr>
          <w:rStyle w:val="FootnoteReference"/>
          <w:rFonts w:ascii="Kalpurush" w:hAnsi="Kalpurush" w:cs="Kalpurush"/>
        </w:rPr>
        <w:footnoteRef/>
      </w:r>
      <w:r w:rsidRPr="00C547E4">
        <w:rPr>
          <w:rFonts w:ascii="Kalpurush" w:hAnsi="Kalpurush" w:cs="Kalpurush"/>
        </w:rPr>
        <w:t xml:space="preserve"> </w:t>
      </w:r>
      <w:r w:rsidRPr="00C547E4">
        <w:rPr>
          <w:rFonts w:ascii="Kalpurush" w:hAnsi="Kalpurush" w:cs="Kalpurush"/>
          <w:cs/>
          <w:lang w:val="en-US" w:bidi="bn-BD"/>
        </w:rPr>
        <w:t>জামেউল মাসায়েল: (৪/২৮৪)</w:t>
      </w:r>
    </w:p>
  </w:footnote>
  <w:footnote w:id="4">
    <w:p w:rsidR="00C547E4" w:rsidRPr="00C547E4" w:rsidRDefault="00C547E4" w:rsidP="003669DB">
      <w:pPr>
        <w:pStyle w:val="FootnoteText"/>
        <w:jc w:val="both"/>
        <w:rPr>
          <w:rFonts w:ascii="Kalpurush" w:hAnsi="Kalpurush" w:cs="Kalpurush"/>
          <w:cs/>
          <w:lang w:bidi="bn-BD"/>
        </w:rPr>
      </w:pPr>
      <w:r w:rsidRPr="00C547E4">
        <w:rPr>
          <w:rStyle w:val="FootnoteReference"/>
          <w:rFonts w:ascii="Kalpurush" w:hAnsi="Kalpurush" w:cs="Kalpurush"/>
        </w:rPr>
        <w:footnoteRef/>
      </w:r>
      <w:r w:rsidRPr="00C547E4">
        <w:rPr>
          <w:rFonts w:ascii="Kalpurush" w:hAnsi="Kalpurush" w:cs="Kalpurush"/>
        </w:rPr>
        <w:t xml:space="preserve"> </w:t>
      </w:r>
      <w:r w:rsidRPr="00C547E4">
        <w:rPr>
          <w:rFonts w:ascii="Kalpurush" w:hAnsi="Kalpurush" w:cs="Kalpurush"/>
          <w:cs/>
          <w:lang w:val="en-US" w:bidi="bn-BD"/>
        </w:rPr>
        <w:t>মুখতাসারুল ফতোয়া</w:t>
      </w:r>
      <w:r w:rsidR="003669DB">
        <w:rPr>
          <w:rFonts w:ascii="Kalpurush" w:hAnsi="Kalpurush" w:cs="Kalpurush" w:hint="cs"/>
          <w:cs/>
          <w:lang w:val="en-US" w:bidi="bn-BD"/>
        </w:rPr>
        <w:t xml:space="preserve"> আ</w:t>
      </w:r>
      <w:r w:rsidRPr="00C547E4">
        <w:rPr>
          <w:rFonts w:ascii="Kalpurush" w:hAnsi="Kalpurush" w:cs="Kalpurush"/>
          <w:cs/>
          <w:lang w:val="en-US" w:bidi="bn-BD"/>
        </w:rPr>
        <w:t>ল</w:t>
      </w:r>
      <w:r w:rsidR="003669DB">
        <w:rPr>
          <w:rFonts w:ascii="Kalpurush" w:hAnsi="Kalpurush" w:cs="Kalpurush" w:hint="cs"/>
          <w:cs/>
          <w:lang w:val="en-US" w:bidi="bn-BD"/>
        </w:rPr>
        <w:t>-</w:t>
      </w:r>
      <w:r w:rsidRPr="00C547E4">
        <w:rPr>
          <w:rFonts w:ascii="Kalpurush" w:hAnsi="Kalpurush" w:cs="Kalpurush"/>
          <w:cs/>
          <w:lang w:val="en-US" w:bidi="bn-BD"/>
        </w:rPr>
        <w:t xml:space="preserve">মিসরিয়াহ: (২৬৮)  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672C240" wp14:editId="6B92F20E">
              <wp:simplePos x="0" y="0"/>
              <wp:positionH relativeFrom="column">
                <wp:posOffset>-585734</wp:posOffset>
              </wp:positionH>
              <wp:positionV relativeFrom="paragraph">
                <wp:posOffset>-177083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3" y="58793"/>
                          <a:ext cx="1575632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C547E4" w:rsidRDefault="00C547E4" w:rsidP="00C547E4">
                            <w:pPr>
                              <w:bidi w:val="0"/>
                              <w:spacing w:before="80" w:after="0" w:line="240" w:lineRule="auto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0"/>
                                <w:lang w:bidi="bn-BD"/>
                              </w:rPr>
                            </w:pPr>
                            <w:r w:rsidRPr="00C547E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>বান্দার</w:t>
                            </w:r>
                            <w:r w:rsidRPr="00C547E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547E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>ওপর</w:t>
                            </w:r>
                            <w:r w:rsidRPr="00C547E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547E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>আল্লাহর</w:t>
                            </w:r>
                            <w:r w:rsidRPr="00C547E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547E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>সবচেয়ে</w:t>
                            </w:r>
                            <w:r w:rsidRPr="00C547E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547E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>বড়</w:t>
                            </w:r>
                            <w:r w:rsidRPr="00C547E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547E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>নি‘আমত</w:t>
                            </w:r>
                            <w:r w:rsidRPr="00C547E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547E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>ঈমান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CF145D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2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72C240" id="Group 1" o:spid="_x0000_s1026" style="position:absolute;left:0;text-align:left;margin-left:-46.1pt;margin-top:-13.9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GRXyw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+9xCAOkHOgR7ESbyYg6sa9DBO4yPc8LIT&#10;Ur0jvEW6kXsClGJ2wQ83UsFNA8RuijkFp0153VBqOlqdZEUFesCgq3VtzwFnnc6iDPW5l8VhbBZm&#10;XJsbvbWNAtHTps291Nd/9to1KFesNFMUbqhtgyOUgT8OGAuR2q13ho9yueblI+AluBU3BCNobLj4&#10;4qEehJ178vMWC+Ih+isDzLMginQkMJ0oTkLoiOnIejqCWQFL5Z7ykG2ulIkeGgbGL+FuqsbApd2z&#10;ngy+AhGtq9+dkRBirXLvlMBNvVFoxRmDC+UCpRNurtigYcswfQTNKVTRpvvF0fVAyiEQJx5ux1Hr&#10;QJJmbFTjnjIDq2jDtIDw8iusshQJwgQoYIg15Y8U9XrkWLRKg/RKHwZ2m9DsNDukeqREL0jZ76SC&#10;8LZX4yF1cVEQphx9zWxtVgFTR8PBtecMh/nalJik8y3Go4XZmTM1GrcN48ICc7i72jmXKzvf6cOe&#10;e89FjZfuvR4ZIdBbMv7H4XEeR5A5IhMgsyxdJDbGOBYnWRpkLq/EkZ9lA7dclHXB79Xi44TUwPAp&#10;9+d+4icmyRxyHy+fjZiOixDPNbNqynsksM70Wm8nWb2P5Hq20Zplp1njKASfEll4iq3lJ8fW0wIb&#10;8uQhxemoym8U1363Fwhrb/xVYenMMxRMr5mACiX+xykoGKvHW4o/bwmCDwM6UDmNxeNh4tGsHNLN&#10;HOrCIF0YtQbhPPNN3gIGD3VgEocR1I22nPEjP/kLuXbGi+dSz6QcsVloMYdMp106FOIhK12+0PPo&#10;toUKzZZAsatitEKdyctz1UkZ2b0XQ5x6DSkd7vh95HRUvcmuuG6gIr3BUt1iAW8xKM90SfcBfioI&#10;SrnHh5aHdJF36vu/WwKybbviUOYCxcE709Qlo6LuayV4+xGeoZe68IQhVzM+lSyCh2xBLi/NNHgA&#10;dljdsLuucMWXTjr3u49YdEPaUSCA99w9RJ7UUXauJuPfqEUhfJtnpKHl8OTV79RpH9rTh/nFnwAA&#10;AP//AwBQSwMEFAAGAAgAAAAhALJG/7HiAAAACgEAAA8AAABkcnMvZG93bnJldi54bWxMj8Fqg0AQ&#10;hu+FvsMyhd6SVWvTaF1DCG1PIdCkEHqb6EQl7q64GzVv3+mpvc0wH/98f7aadCsG6l1jjYJwHoAg&#10;U9iyMZWCr8P7bAnCeTQlttaQghs5WOX3dxmmpR3NJw17XwkOMS5FBbX3XSqlK2rS6Oa2I8O3s+01&#10;el77SpY9jhyuWxkFwUJqbAx/qLGjTU3FZX/VCj5GHNdP4duwvZw3t+/D8+64DUmpx4dp/QrC0+T/&#10;YPjVZ3XI2elkr6Z0olUwS6KIUR6ilwQEE0myiEGcFMRxADLP5P8K+Q8AAAD//wMAUEsBAi0AFAAG&#10;AAgAAAAhALaDOJL+AAAA4QEAABMAAAAAAAAAAAAAAAAAAAAAAFtDb250ZW50X1R5cGVzXS54bWxQ&#10;SwECLQAUAAYACAAAACEAOP0h/9YAAACUAQAACwAAAAAAAAAAAAAAAAAvAQAAX3JlbHMvLnJlbHNQ&#10;SwECLQAUAAYACAAAACEAy2hkV8sEAADgDwAADgAAAAAAAAAAAAAAAAAuAgAAZHJzL2Uyb0RvYy54&#10;bWxQSwECLQAUAAYACAAAACEAskb/seIAAAAKAQAADwAAAAAAAAAAAAAAAAAlBwAAZHJzL2Rvd25y&#10;ZXYueG1sUEsFBgAAAAAEAAQA8wAAADQ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5756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C547E4" w:rsidRDefault="00C547E4" w:rsidP="00C547E4">
                      <w:pPr>
                        <w:bidi w:val="0"/>
                        <w:spacing w:before="80" w:after="0" w:line="240" w:lineRule="auto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0"/>
                          <w:lang w:bidi="bn-BD"/>
                        </w:rPr>
                      </w:pPr>
                      <w:r w:rsidRPr="00C547E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>বান্দার</w:t>
                      </w:r>
                      <w:r w:rsidRPr="00C547E4">
                        <w:rPr>
                          <w:rFonts w:ascii="Kalpurush" w:hAnsi="Kalpurush" w:cs="Kalpurush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C547E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>ওপর</w:t>
                      </w:r>
                      <w:r w:rsidRPr="00C547E4">
                        <w:rPr>
                          <w:rFonts w:ascii="Kalpurush" w:hAnsi="Kalpurush" w:cs="Kalpurush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C547E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>আল্লাহর</w:t>
                      </w:r>
                      <w:r w:rsidRPr="00C547E4">
                        <w:rPr>
                          <w:rFonts w:ascii="Kalpurush" w:hAnsi="Kalpurush" w:cs="Kalpurush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C547E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>সবচেয়ে</w:t>
                      </w:r>
                      <w:r w:rsidRPr="00C547E4">
                        <w:rPr>
                          <w:rFonts w:ascii="Kalpurush" w:hAnsi="Kalpurush" w:cs="Kalpurush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C547E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>বড়</w:t>
                      </w:r>
                      <w:r w:rsidRPr="00C547E4">
                        <w:rPr>
                          <w:rFonts w:ascii="Kalpurush" w:hAnsi="Kalpurush" w:cs="Kalpurush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C547E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>নি‘আমত</w:t>
                      </w:r>
                      <w:r w:rsidRPr="00C547E4">
                        <w:rPr>
                          <w:rFonts w:ascii="Kalpurush" w:hAnsi="Kalpurush" w:cs="Kalpurush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C547E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>ঈমান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CF145D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2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5CF6FF" wp14:editId="2C7C94D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E487AE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85F85B1" wp14:editId="4398A381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5F85B1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1C55B49" wp14:editId="1B4BEE0B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1F2974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84270C" id="Group 39" o:spid="_x0000_s1026" style="position:absolute;margin-left:0;margin-top:-35.45pt;width:595.15pt;height:841.35pt;z-index:251658752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7E4"/>
    <w:rsid w:val="0000503E"/>
    <w:rsid w:val="0000656E"/>
    <w:rsid w:val="00014A18"/>
    <w:rsid w:val="00054A51"/>
    <w:rsid w:val="00060FFE"/>
    <w:rsid w:val="000A43B4"/>
    <w:rsid w:val="000A53B5"/>
    <w:rsid w:val="000A6307"/>
    <w:rsid w:val="000C2B16"/>
    <w:rsid w:val="000D5816"/>
    <w:rsid w:val="000E4DB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374F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669DB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5C584C"/>
    <w:rsid w:val="00604920"/>
    <w:rsid w:val="00612832"/>
    <w:rsid w:val="00630BD9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D023D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29F3"/>
    <w:rsid w:val="00C45A48"/>
    <w:rsid w:val="00C50098"/>
    <w:rsid w:val="00C547E4"/>
    <w:rsid w:val="00C72BD4"/>
    <w:rsid w:val="00C90E54"/>
    <w:rsid w:val="00CD4735"/>
    <w:rsid w:val="00CF145D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2D1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0B6872C-CEFE-45CD-8D74-28CC83732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C547E4"/>
    <w:pPr>
      <w:bidi w:val="0"/>
      <w:spacing w:after="0" w:line="240" w:lineRule="auto"/>
    </w:pPr>
    <w:rPr>
      <w:rFonts w:ascii="Calibri" w:eastAsia="Calibri" w:hAnsi="Calibri" w:cs="Arial"/>
      <w:sz w:val="20"/>
      <w:szCs w:val="20"/>
      <w:lang w:val="fr-F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547E4"/>
    <w:rPr>
      <w:rFonts w:ascii="Calibri" w:eastAsia="Calibri" w:hAnsi="Calibri" w:cs="Arial"/>
      <w:sz w:val="20"/>
      <w:szCs w:val="20"/>
      <w:lang w:val="fr-FR"/>
    </w:rPr>
  </w:style>
  <w:style w:type="character" w:styleId="FootnoteReference">
    <w:name w:val="footnote reference"/>
    <w:basedOn w:val="DefaultParagraphFont"/>
    <w:uiPriority w:val="99"/>
    <w:semiHidden/>
    <w:unhideWhenUsed/>
    <w:rsid w:val="00C547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0E0CEC-DB93-498B-9AC0-1A957AD1F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38</TotalTime>
  <Pages>5</Pages>
  <Words>878</Words>
  <Characters>4373</Characters>
  <Application>Microsoft Office Word</Application>
  <DocSecurity>0</DocSecurity>
  <Lines>97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বান্দার ওপর আল্লাহর সবচেয়ে বড় নি‘আমত ঈমান</vt:lpstr>
      <vt:lpstr/>
    </vt:vector>
  </TitlesOfParts>
  <Manager/>
  <Company>islamhouse.com</Company>
  <LinksUpToDate>false</LinksUpToDate>
  <CharactersWithSpaces>5214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বান্দার ওপর আল্লাহর সবচেয়ে বড় নি‘আমত ঈমান</dc:title>
  <dc:subject>বান্দার ওপর আল্লাহর সবচেয়ে বড় নি‘আমত ঈমান</dc:subject>
  <dc:creator>ইসলাম কিউ এ_x000d_</dc:creator>
  <cp:keywords>বান্দার ওপর আল্লাহর সবচেয়ে বড় নি‘আমত ঈমান</cp:keywords>
  <dc:description>বান্দার ওপর আল্লাহর সবচেয়ে বড় নি‘আমত ঈমান</dc:description>
  <cp:lastModifiedBy>elhashemy</cp:lastModifiedBy>
  <cp:revision>7</cp:revision>
  <cp:lastPrinted>2015-03-07T18:24:00Z</cp:lastPrinted>
  <dcterms:created xsi:type="dcterms:W3CDTF">2015-09-01T14:23:00Z</dcterms:created>
  <dcterms:modified xsi:type="dcterms:W3CDTF">2015-09-02T14:37:00Z</dcterms:modified>
  <cp:category/>
</cp:coreProperties>
</file>