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E27071" w:rsidRDefault="00A03054" w:rsidP="00A03054">
      <w:pPr>
        <w:bidi w:val="0"/>
        <w:jc w:val="center"/>
        <w:rPr>
          <w:rFonts w:asciiTheme="majorBidi" w:hAnsiTheme="majorBidi" w:cs="Kalpurush"/>
          <w:sz w:val="72"/>
          <w:szCs w:val="91"/>
          <w:cs/>
          <w:lang w:bidi="bn-BD"/>
        </w:rPr>
      </w:pPr>
    </w:p>
    <w:p w:rsidR="00A03054" w:rsidRPr="008378B2" w:rsidRDefault="00EE1795" w:rsidP="00EE1795">
      <w:pPr>
        <w:bidi w:val="0"/>
        <w:spacing w:after="0" w:line="240" w:lineRule="auto"/>
        <w:ind w:firstLine="113"/>
        <w:jc w:val="center"/>
        <w:rPr>
          <w:rFonts w:ascii="Kalpurush" w:hAnsi="Kalpurush" w:cs="Kalpurush"/>
          <w:color w:val="205B83"/>
          <w:sz w:val="72"/>
          <w:szCs w:val="72"/>
          <w:lang w:bidi="bn-BD"/>
        </w:rPr>
      </w:pPr>
      <w:r w:rsidRPr="00EE1795">
        <w:rPr>
          <w:rFonts w:ascii="Kalpurush" w:hAnsi="Kalpurush" w:cs="Kalpurush" w:hint="cs"/>
          <w:color w:val="205B83"/>
          <w:sz w:val="72"/>
          <w:szCs w:val="72"/>
          <w:cs/>
          <w:lang w:bidi="bn-BD"/>
        </w:rPr>
        <w:t>স্বামী</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মারা</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গেলে</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ইদ্দত</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পালন</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করা</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সংক্রান্ত</w:t>
      </w:r>
      <w:r w:rsidRPr="00EE1795">
        <w:rPr>
          <w:rFonts w:ascii="Kalpurush" w:hAnsi="Kalpurush" w:cs="Kalpurush"/>
          <w:color w:val="205B83"/>
          <w:sz w:val="72"/>
          <w:szCs w:val="72"/>
          <w:cs/>
          <w:lang w:bidi="bn-BD"/>
        </w:rPr>
        <w:t xml:space="preserve"> </w:t>
      </w:r>
      <w:r w:rsidRPr="00EE1795">
        <w:rPr>
          <w:rFonts w:ascii="Kalpurush" w:hAnsi="Kalpurush" w:cs="Kalpurush" w:hint="cs"/>
          <w:color w:val="205B83"/>
          <w:sz w:val="72"/>
          <w:szCs w:val="72"/>
          <w:cs/>
          <w:lang w:bidi="bn-BD"/>
        </w:rPr>
        <w:t>বিধি</w:t>
      </w:r>
      <w:r w:rsidRPr="00EE1795">
        <w:rPr>
          <w:rFonts w:ascii="Kalpurush" w:hAnsi="Kalpurush" w:cs="Kalpurush"/>
          <w:color w:val="205B83"/>
          <w:sz w:val="72"/>
          <w:szCs w:val="72"/>
          <w:cs/>
          <w:lang w:bidi="bn-BD"/>
        </w:rPr>
        <w:t>-</w:t>
      </w:r>
      <w:r w:rsidRPr="00EE1795">
        <w:rPr>
          <w:rFonts w:ascii="Kalpurush" w:hAnsi="Kalpurush" w:cs="Kalpurush" w:hint="cs"/>
          <w:color w:val="205B83"/>
          <w:sz w:val="72"/>
          <w:szCs w:val="72"/>
          <w:cs/>
          <w:lang w:bidi="bn-BD"/>
        </w:rPr>
        <w:t>বিধান</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EE1795" w:rsidP="00EE1795">
      <w:pPr>
        <w:spacing w:after="0" w:line="240" w:lineRule="auto"/>
        <w:ind w:firstLine="113"/>
        <w:jc w:val="center"/>
        <w:rPr>
          <w:rFonts w:asciiTheme="majorBidi" w:hAnsiTheme="majorBidi" w:cs="KFGQPC Uthman Taha Naskh"/>
          <w:sz w:val="40"/>
          <w:szCs w:val="40"/>
          <w:rtl/>
        </w:rPr>
      </w:pPr>
      <w:r w:rsidRPr="00EE1795">
        <w:rPr>
          <w:rFonts w:asciiTheme="majorBidi" w:hAnsiTheme="majorBidi" w:cs="KFGQPC Uthman Taha Naskh" w:hint="cs"/>
          <w:sz w:val="40"/>
          <w:szCs w:val="40"/>
          <w:rtl/>
          <w:lang w:bidi="ar-EG"/>
        </w:rPr>
        <w:t>عدة</w:t>
      </w:r>
      <w:r w:rsidRPr="00EE1795">
        <w:rPr>
          <w:rFonts w:asciiTheme="majorBidi" w:hAnsiTheme="majorBidi" w:cs="KFGQPC Uthman Taha Naskh"/>
          <w:sz w:val="40"/>
          <w:szCs w:val="40"/>
          <w:rtl/>
          <w:lang w:bidi="ar-EG"/>
        </w:rPr>
        <w:t xml:space="preserve"> </w:t>
      </w:r>
      <w:r w:rsidRPr="00EE1795">
        <w:rPr>
          <w:rFonts w:asciiTheme="majorBidi" w:hAnsiTheme="majorBidi" w:cs="KFGQPC Uthman Taha Naskh" w:hint="cs"/>
          <w:sz w:val="40"/>
          <w:szCs w:val="40"/>
          <w:rtl/>
          <w:lang w:bidi="ar-EG"/>
        </w:rPr>
        <w:t>المتوفى</w:t>
      </w:r>
      <w:r w:rsidRPr="00EE1795">
        <w:rPr>
          <w:rFonts w:asciiTheme="majorBidi" w:hAnsiTheme="majorBidi" w:cs="KFGQPC Uthman Taha Naskh"/>
          <w:sz w:val="40"/>
          <w:szCs w:val="40"/>
          <w:rtl/>
          <w:lang w:bidi="ar-EG"/>
        </w:rPr>
        <w:t xml:space="preserve"> </w:t>
      </w:r>
      <w:r w:rsidRPr="00EE1795">
        <w:rPr>
          <w:rFonts w:asciiTheme="majorBidi" w:hAnsiTheme="majorBidi" w:cs="KFGQPC Uthman Taha Naskh" w:hint="cs"/>
          <w:sz w:val="40"/>
          <w:szCs w:val="40"/>
          <w:rtl/>
          <w:lang w:bidi="ar-EG"/>
        </w:rPr>
        <w:t>عنها</w:t>
      </w:r>
      <w:r w:rsidRPr="00EE1795">
        <w:rPr>
          <w:rFonts w:asciiTheme="majorBidi" w:hAnsiTheme="majorBidi" w:cs="KFGQPC Uthman Taha Naskh"/>
          <w:sz w:val="40"/>
          <w:szCs w:val="40"/>
          <w:rtl/>
          <w:lang w:bidi="ar-EG"/>
        </w:rPr>
        <w:t xml:space="preserve"> </w:t>
      </w:r>
      <w:r w:rsidRPr="00EE1795">
        <w:rPr>
          <w:rFonts w:asciiTheme="majorBidi" w:hAnsiTheme="majorBidi" w:cs="KFGQPC Uthman Taha Naskh" w:hint="cs"/>
          <w:sz w:val="40"/>
          <w:szCs w:val="40"/>
          <w:rtl/>
          <w:lang w:bidi="ar-EG"/>
        </w:rPr>
        <w:t>زوجها</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FB3843" w:rsidRDefault="00FB3843" w:rsidP="00FB3843">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EE1795" w:rsidP="00EE1795">
      <w:pPr>
        <w:bidi w:val="0"/>
        <w:spacing w:after="0" w:line="240" w:lineRule="auto"/>
        <w:ind w:firstLine="113"/>
        <w:jc w:val="center"/>
        <w:rPr>
          <w:rFonts w:ascii="Kalpurush" w:hAnsi="Kalpurush" w:cs="Kalpurush"/>
          <w:color w:val="205B83"/>
          <w:sz w:val="48"/>
          <w:szCs w:val="48"/>
          <w:lang w:bidi="bn-BD"/>
        </w:rPr>
      </w:pPr>
      <w:bookmarkStart w:id="0" w:name="_GoBack"/>
      <w:r w:rsidRPr="00EE1795">
        <w:rPr>
          <w:rFonts w:ascii="Kalpurush" w:hAnsi="Kalpurush" w:cs="Kalpurush" w:hint="cs"/>
          <w:color w:val="205B83"/>
          <w:sz w:val="48"/>
          <w:szCs w:val="48"/>
          <w:cs/>
          <w:lang w:bidi="bn-BD"/>
        </w:rPr>
        <w:t>শাইখ</w:t>
      </w:r>
      <w:r w:rsidRPr="00EE1795">
        <w:rPr>
          <w:rFonts w:ascii="Kalpurush" w:hAnsi="Kalpurush" w:cs="Kalpurush"/>
          <w:color w:val="205B83"/>
          <w:sz w:val="48"/>
          <w:szCs w:val="48"/>
          <w:cs/>
          <w:lang w:bidi="bn-BD"/>
        </w:rPr>
        <w:t xml:space="preserve"> </w:t>
      </w:r>
      <w:r w:rsidRPr="00EE1795">
        <w:rPr>
          <w:rFonts w:ascii="Kalpurush" w:hAnsi="Kalpurush" w:cs="Kalpurush" w:hint="cs"/>
          <w:color w:val="205B83"/>
          <w:sz w:val="48"/>
          <w:szCs w:val="48"/>
          <w:cs/>
          <w:lang w:bidi="bn-BD"/>
        </w:rPr>
        <w:t>মুহাম্মাদ</w:t>
      </w:r>
      <w:r w:rsidRPr="00EE1795">
        <w:rPr>
          <w:rFonts w:ascii="Kalpurush" w:hAnsi="Kalpurush" w:cs="Kalpurush"/>
          <w:color w:val="205B83"/>
          <w:sz w:val="48"/>
          <w:szCs w:val="48"/>
          <w:cs/>
          <w:lang w:bidi="bn-BD"/>
        </w:rPr>
        <w:t xml:space="preserve"> </w:t>
      </w:r>
      <w:r w:rsidRPr="00EE1795">
        <w:rPr>
          <w:rFonts w:ascii="Kalpurush" w:hAnsi="Kalpurush" w:cs="Kalpurush" w:hint="cs"/>
          <w:color w:val="205B83"/>
          <w:sz w:val="48"/>
          <w:szCs w:val="48"/>
          <w:cs/>
          <w:lang w:bidi="bn-BD"/>
        </w:rPr>
        <w:t>সালেহ</w:t>
      </w:r>
      <w:r w:rsidRPr="00EE1795">
        <w:rPr>
          <w:rFonts w:ascii="Kalpurush" w:hAnsi="Kalpurush" w:cs="Kalpurush"/>
          <w:color w:val="205B83"/>
          <w:sz w:val="48"/>
          <w:szCs w:val="48"/>
          <w:cs/>
          <w:lang w:bidi="bn-BD"/>
        </w:rPr>
        <w:t xml:space="preserve"> </w:t>
      </w:r>
      <w:r w:rsidRPr="00EE1795">
        <w:rPr>
          <w:rFonts w:ascii="Kalpurush" w:hAnsi="Kalpurush" w:cs="Kalpurush" w:hint="cs"/>
          <w:color w:val="205B83"/>
          <w:sz w:val="48"/>
          <w:szCs w:val="48"/>
          <w:cs/>
          <w:lang w:bidi="bn-BD"/>
        </w:rPr>
        <w:t>আল</w:t>
      </w:r>
      <w:r w:rsidRPr="00EE1795">
        <w:rPr>
          <w:rFonts w:ascii="Kalpurush" w:hAnsi="Kalpurush" w:cs="Kalpurush"/>
          <w:color w:val="205B83"/>
          <w:sz w:val="48"/>
          <w:szCs w:val="48"/>
          <w:cs/>
          <w:lang w:bidi="bn-BD"/>
        </w:rPr>
        <w:t>-</w:t>
      </w:r>
      <w:r w:rsidRPr="00EE1795">
        <w:rPr>
          <w:rFonts w:ascii="Kalpurush" w:hAnsi="Kalpurush" w:cs="Kalpurush" w:hint="cs"/>
          <w:color w:val="205B83"/>
          <w:sz w:val="48"/>
          <w:szCs w:val="48"/>
          <w:cs/>
          <w:lang w:bidi="bn-BD"/>
        </w:rPr>
        <w:t>মুনাজ্জিদ</w:t>
      </w:r>
      <w:bookmarkEnd w:id="0"/>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EE1795" w:rsidP="00EE1795">
      <w:pPr>
        <w:spacing w:after="0" w:line="240" w:lineRule="auto"/>
        <w:ind w:firstLine="113"/>
        <w:jc w:val="center"/>
        <w:rPr>
          <w:rFonts w:asciiTheme="majorBidi" w:hAnsiTheme="majorBidi" w:cs="KFGQPC Uthman Taha Naskh"/>
          <w:sz w:val="36"/>
          <w:szCs w:val="36"/>
          <w:rtl/>
          <w:lang w:bidi="ar-EG"/>
        </w:rPr>
      </w:pPr>
      <w:r w:rsidRPr="00EE1795">
        <w:rPr>
          <w:rFonts w:asciiTheme="majorBidi" w:hAnsiTheme="majorBidi" w:cs="KFGQPC Uthman Taha Naskh" w:hint="cs"/>
          <w:sz w:val="36"/>
          <w:szCs w:val="36"/>
          <w:rtl/>
          <w:lang w:bidi="ar-EG"/>
        </w:rPr>
        <w:t>الشيخ</w:t>
      </w:r>
      <w:r w:rsidRPr="00EE1795">
        <w:rPr>
          <w:rFonts w:asciiTheme="majorBidi" w:hAnsiTheme="majorBidi" w:cs="KFGQPC Uthman Taha Naskh"/>
          <w:sz w:val="36"/>
          <w:szCs w:val="36"/>
          <w:rtl/>
          <w:lang w:bidi="ar-EG"/>
        </w:rPr>
        <w:t xml:space="preserve"> </w:t>
      </w:r>
      <w:r w:rsidRPr="00EE1795">
        <w:rPr>
          <w:rFonts w:asciiTheme="majorBidi" w:hAnsiTheme="majorBidi" w:cs="KFGQPC Uthman Taha Naskh" w:hint="cs"/>
          <w:sz w:val="36"/>
          <w:szCs w:val="36"/>
          <w:rtl/>
          <w:lang w:bidi="ar-EG"/>
        </w:rPr>
        <w:t>محمد</w:t>
      </w:r>
      <w:r w:rsidRPr="00EE1795">
        <w:rPr>
          <w:rFonts w:asciiTheme="majorBidi" w:hAnsiTheme="majorBidi" w:cs="KFGQPC Uthman Taha Naskh"/>
          <w:sz w:val="36"/>
          <w:szCs w:val="36"/>
          <w:rtl/>
          <w:lang w:bidi="ar-EG"/>
        </w:rPr>
        <w:t xml:space="preserve"> </w:t>
      </w:r>
      <w:r w:rsidRPr="00EE1795">
        <w:rPr>
          <w:rFonts w:asciiTheme="majorBidi" w:hAnsiTheme="majorBidi" w:cs="KFGQPC Uthman Taha Naskh" w:hint="cs"/>
          <w:sz w:val="36"/>
          <w:szCs w:val="36"/>
          <w:rtl/>
          <w:lang w:bidi="ar-EG"/>
        </w:rPr>
        <w:t>صالح</w:t>
      </w:r>
      <w:r w:rsidRPr="00EE1795">
        <w:rPr>
          <w:rFonts w:asciiTheme="majorBidi" w:hAnsiTheme="majorBidi" w:cs="KFGQPC Uthman Taha Naskh"/>
          <w:sz w:val="36"/>
          <w:szCs w:val="36"/>
          <w:rtl/>
          <w:lang w:bidi="ar-EG"/>
        </w:rPr>
        <w:t xml:space="preserve"> </w:t>
      </w:r>
      <w:r w:rsidRPr="00EE1795">
        <w:rPr>
          <w:rFonts w:asciiTheme="majorBidi" w:hAnsiTheme="majorBidi" w:cs="KFGQPC Uthman Taha Naskh" w:hint="cs"/>
          <w:sz w:val="36"/>
          <w:szCs w:val="36"/>
          <w:rtl/>
          <w:lang w:bidi="ar-EG"/>
        </w:rPr>
        <w:t>المنجد</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ar-EG"/>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EE1795" w:rsidRPr="00EE1795">
        <w:rPr>
          <w:rFonts w:ascii="Kalpurush" w:hAnsi="Kalpurush" w:cs="Kalpurush" w:hint="cs"/>
          <w:color w:val="205B83"/>
          <w:sz w:val="40"/>
          <w:szCs w:val="40"/>
          <w:cs/>
          <w:lang w:bidi="bn-IN"/>
        </w:rPr>
        <w:t>ড</w:t>
      </w:r>
      <w:r w:rsidR="00EE1795" w:rsidRPr="00EE1795">
        <w:rPr>
          <w:rFonts w:ascii="Kalpurush" w:hAnsi="Kalpurush" w:cs="Kalpurush"/>
          <w:color w:val="205B83"/>
          <w:sz w:val="40"/>
          <w:szCs w:val="40"/>
          <w:cs/>
          <w:lang w:bidi="bn-IN"/>
        </w:rPr>
        <w:t xml:space="preserve">. </w:t>
      </w:r>
      <w:r w:rsidR="00EE1795" w:rsidRPr="00EE1795">
        <w:rPr>
          <w:rFonts w:ascii="Kalpurush" w:hAnsi="Kalpurush" w:cs="Kalpurush" w:hint="cs"/>
          <w:color w:val="205B83"/>
          <w:sz w:val="40"/>
          <w:szCs w:val="40"/>
          <w:cs/>
          <w:lang w:bidi="bn-IN"/>
        </w:rPr>
        <w:t>আবু</w:t>
      </w:r>
      <w:r w:rsidR="00EE1795" w:rsidRPr="00EE1795">
        <w:rPr>
          <w:rFonts w:ascii="Kalpurush" w:hAnsi="Kalpurush" w:cs="Kalpurush"/>
          <w:color w:val="205B83"/>
          <w:sz w:val="40"/>
          <w:szCs w:val="40"/>
          <w:cs/>
          <w:lang w:bidi="bn-IN"/>
        </w:rPr>
        <w:t xml:space="preserve"> </w:t>
      </w:r>
      <w:r w:rsidR="00EE1795" w:rsidRPr="00EE1795">
        <w:rPr>
          <w:rFonts w:ascii="Kalpurush" w:hAnsi="Kalpurush" w:cs="Kalpurush" w:hint="cs"/>
          <w:color w:val="205B83"/>
          <w:sz w:val="40"/>
          <w:szCs w:val="40"/>
          <w:cs/>
          <w:lang w:bidi="bn-IN"/>
        </w:rPr>
        <w:t>বকর</w:t>
      </w:r>
      <w:r w:rsidR="00EE1795" w:rsidRPr="00EE1795">
        <w:rPr>
          <w:rFonts w:ascii="Kalpurush" w:hAnsi="Kalpurush" w:cs="Kalpurush"/>
          <w:color w:val="205B83"/>
          <w:sz w:val="40"/>
          <w:szCs w:val="40"/>
          <w:cs/>
          <w:lang w:bidi="bn-IN"/>
        </w:rPr>
        <w:t xml:space="preserve"> </w:t>
      </w:r>
      <w:r w:rsidR="00EE1795" w:rsidRPr="00EE1795">
        <w:rPr>
          <w:rFonts w:ascii="Kalpurush" w:hAnsi="Kalpurush" w:cs="Kalpurush" w:hint="cs"/>
          <w:color w:val="205B83"/>
          <w:sz w:val="40"/>
          <w:szCs w:val="40"/>
          <w:cs/>
          <w:lang w:bidi="bn-IN"/>
        </w:rPr>
        <w:t>মুহাম্মাদ</w:t>
      </w:r>
      <w:r w:rsidR="00EE1795" w:rsidRPr="00EE1795">
        <w:rPr>
          <w:rFonts w:ascii="Kalpurush" w:hAnsi="Kalpurush" w:cs="Kalpurush"/>
          <w:color w:val="205B83"/>
          <w:sz w:val="40"/>
          <w:szCs w:val="40"/>
          <w:cs/>
          <w:lang w:bidi="bn-IN"/>
        </w:rPr>
        <w:t xml:space="preserve"> </w:t>
      </w:r>
      <w:r w:rsidR="00EE1795" w:rsidRPr="00EE1795">
        <w:rPr>
          <w:rFonts w:ascii="Kalpurush" w:hAnsi="Kalpurush" w:cs="Kalpurush" w:hint="cs"/>
          <w:color w:val="205B83"/>
          <w:sz w:val="40"/>
          <w:szCs w:val="40"/>
          <w:cs/>
          <w:lang w:bidi="bn-IN"/>
        </w:rPr>
        <w:t>যাকারিয়া</w:t>
      </w:r>
    </w:p>
    <w:p w:rsidR="00912D68" w:rsidRPr="00E443FF" w:rsidRDefault="00E443FF" w:rsidP="00EE1795">
      <w:pPr>
        <w:tabs>
          <w:tab w:val="center" w:pos="4309"/>
          <w:tab w:val="left" w:pos="5644"/>
        </w:tabs>
        <w:bidi w:val="0"/>
        <w:spacing w:after="0" w:line="240" w:lineRule="auto"/>
        <w:ind w:firstLine="113"/>
        <w:rPr>
          <w:rFonts w:ascii="Kalpurush" w:hAnsi="Kalpurush" w:cs="Kalpurush"/>
          <w:color w:val="205B83"/>
          <w:sz w:val="40"/>
          <w:szCs w:val="40"/>
          <w:cs/>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EE1795">
        <w:rPr>
          <w:rFonts w:ascii="Kalpurush" w:hAnsi="Kalpurush" w:cs="Kalpurush"/>
          <w:color w:val="205B83"/>
          <w:sz w:val="40"/>
          <w:szCs w:val="40"/>
          <w:lang w:bidi="ar-EG"/>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EE1795">
        <w:rPr>
          <w:rFonts w:ascii="Kalpurush" w:hAnsi="Kalpurush" w:cs="Kalpurush" w:hint="cs"/>
          <w:color w:val="205B83"/>
          <w:sz w:val="40"/>
          <w:szCs w:val="40"/>
          <w:cs/>
          <w:lang w:bidi="bn-BD"/>
        </w:rPr>
        <w:t>মুহাম্মাদ মানজুর এলাহী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EE1795" w:rsidRDefault="00A03054" w:rsidP="00EE1795">
      <w:pPr>
        <w:spacing w:after="0" w:line="240" w:lineRule="auto"/>
        <w:ind w:firstLine="113"/>
        <w:jc w:val="center"/>
        <w:rPr>
          <w:rFonts w:asciiTheme="majorBidi" w:hAnsiTheme="majorBidi" w:cs="KFGQPC Uthman Taha Naskh"/>
          <w:b/>
          <w:bCs/>
          <w:sz w:val="32"/>
          <w:szCs w:val="32"/>
          <w:lang w:bidi="ar-EG"/>
        </w:rPr>
      </w:pPr>
      <w:r w:rsidRPr="00E96A90">
        <w:rPr>
          <w:rFonts w:asciiTheme="majorBidi" w:hAnsiTheme="majorBidi" w:cs="KFGQPC Uthman Taha Naskh"/>
          <w:b/>
          <w:bCs/>
          <w:sz w:val="32"/>
          <w:szCs w:val="32"/>
          <w:rtl/>
          <w:lang w:bidi="ar-EG"/>
        </w:rPr>
        <w:t xml:space="preserve">ترجمة: </w:t>
      </w:r>
      <w:r w:rsidR="00EE1795" w:rsidRPr="005A6FDB">
        <w:rPr>
          <w:rFonts w:asciiTheme="majorBidi" w:hAnsiTheme="majorBidi" w:cs="KFGQPC Uthman Taha Naskh" w:hint="cs"/>
          <w:b/>
          <w:bCs/>
          <w:sz w:val="32"/>
          <w:szCs w:val="32"/>
          <w:rtl/>
          <w:lang w:bidi="ar-EG"/>
        </w:rPr>
        <w:t>د</w:t>
      </w:r>
      <w:r w:rsidR="00EE1795" w:rsidRPr="005A6FDB">
        <w:rPr>
          <w:rFonts w:asciiTheme="majorBidi" w:hAnsiTheme="majorBidi" w:cs="KFGQPC Uthman Taha Naskh"/>
          <w:b/>
          <w:bCs/>
          <w:sz w:val="32"/>
          <w:szCs w:val="32"/>
          <w:rtl/>
          <w:lang w:bidi="ar-EG"/>
        </w:rPr>
        <w:t xml:space="preserve">/ </w:t>
      </w:r>
      <w:r w:rsidR="00EE1795" w:rsidRPr="005A6FDB">
        <w:rPr>
          <w:rFonts w:asciiTheme="majorBidi" w:hAnsiTheme="majorBidi" w:cs="KFGQPC Uthman Taha Naskh" w:hint="cs"/>
          <w:b/>
          <w:bCs/>
          <w:sz w:val="32"/>
          <w:szCs w:val="32"/>
          <w:rtl/>
          <w:lang w:bidi="ar-EG"/>
        </w:rPr>
        <w:t>أبو</w:t>
      </w:r>
      <w:r w:rsidR="00EE1795" w:rsidRPr="005A6FDB">
        <w:rPr>
          <w:rFonts w:asciiTheme="majorBidi" w:hAnsiTheme="majorBidi" w:cs="KFGQPC Uthman Taha Naskh"/>
          <w:b/>
          <w:bCs/>
          <w:sz w:val="32"/>
          <w:szCs w:val="32"/>
          <w:rtl/>
          <w:lang w:bidi="ar-EG"/>
        </w:rPr>
        <w:t xml:space="preserve"> </w:t>
      </w:r>
      <w:r w:rsidR="00EE1795" w:rsidRPr="005A6FDB">
        <w:rPr>
          <w:rFonts w:asciiTheme="majorBidi" w:hAnsiTheme="majorBidi" w:cs="KFGQPC Uthman Taha Naskh" w:hint="cs"/>
          <w:b/>
          <w:bCs/>
          <w:sz w:val="32"/>
          <w:szCs w:val="32"/>
          <w:rtl/>
          <w:lang w:bidi="ar-EG"/>
        </w:rPr>
        <w:t>بكر</w:t>
      </w:r>
      <w:r w:rsidR="00EE1795" w:rsidRPr="005A6FDB">
        <w:rPr>
          <w:rFonts w:asciiTheme="majorBidi" w:hAnsiTheme="majorBidi" w:cs="KFGQPC Uthman Taha Naskh"/>
          <w:b/>
          <w:bCs/>
          <w:sz w:val="32"/>
          <w:szCs w:val="32"/>
          <w:rtl/>
          <w:lang w:bidi="ar-EG"/>
        </w:rPr>
        <w:t xml:space="preserve"> </w:t>
      </w:r>
      <w:r w:rsidR="00EE1795" w:rsidRPr="005A6FDB">
        <w:rPr>
          <w:rFonts w:asciiTheme="majorBidi" w:hAnsiTheme="majorBidi" w:cs="KFGQPC Uthman Taha Naskh" w:hint="cs"/>
          <w:b/>
          <w:bCs/>
          <w:sz w:val="32"/>
          <w:szCs w:val="32"/>
          <w:rtl/>
          <w:lang w:bidi="ar-EG"/>
        </w:rPr>
        <w:t>محمد</w:t>
      </w:r>
      <w:r w:rsidR="00EE1795" w:rsidRPr="005A6FDB">
        <w:rPr>
          <w:rFonts w:asciiTheme="majorBidi" w:hAnsiTheme="majorBidi" w:cs="KFGQPC Uthman Taha Naskh"/>
          <w:b/>
          <w:bCs/>
          <w:sz w:val="32"/>
          <w:szCs w:val="32"/>
          <w:rtl/>
          <w:lang w:bidi="ar-EG"/>
        </w:rPr>
        <w:t xml:space="preserve"> </w:t>
      </w:r>
      <w:r w:rsidR="00EE1795" w:rsidRPr="005A6FDB">
        <w:rPr>
          <w:rFonts w:asciiTheme="majorBidi" w:hAnsiTheme="majorBidi" w:cs="KFGQPC Uthman Taha Naskh" w:hint="cs"/>
          <w:b/>
          <w:bCs/>
          <w:sz w:val="32"/>
          <w:szCs w:val="32"/>
          <w:rtl/>
          <w:lang w:bidi="ar-EG"/>
        </w:rPr>
        <w:t>زكريا</w:t>
      </w:r>
      <w:r w:rsidR="00EE1795" w:rsidRPr="00E96A90">
        <w:rPr>
          <w:rFonts w:asciiTheme="majorBidi" w:hAnsiTheme="majorBidi" w:cs="KFGQPC Uthman Taha Naskh"/>
          <w:b/>
          <w:bCs/>
          <w:sz w:val="32"/>
          <w:szCs w:val="32"/>
          <w:rtl/>
          <w:lang w:bidi="ar-EG"/>
        </w:rPr>
        <w:t xml:space="preserve"> </w:t>
      </w:r>
    </w:p>
    <w:p w:rsidR="008B3703" w:rsidRPr="00E27071" w:rsidRDefault="00A03054" w:rsidP="00EE1795">
      <w:pPr>
        <w:spacing w:after="0" w:line="240" w:lineRule="auto"/>
        <w:ind w:firstLine="113"/>
        <w:jc w:val="center"/>
        <w:rPr>
          <w:rFonts w:asciiTheme="majorBidi" w:hAnsiTheme="majorBidi" w:cs="Times New Roman"/>
          <w:color w:val="006666"/>
          <w:sz w:val="40"/>
          <w:szCs w:val="40"/>
          <w:rtl/>
          <w:lang w:bidi="ar-EG"/>
        </w:rPr>
        <w:sectPr w:rsidR="008B3703" w:rsidRPr="00E27071"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EE1795">
        <w:rPr>
          <w:rFonts w:asciiTheme="majorBidi" w:hAnsiTheme="majorBidi" w:cs="KFGQPC Uthman Taha Naskh" w:hint="cs"/>
          <w:b/>
          <w:bCs/>
          <w:sz w:val="32"/>
          <w:szCs w:val="32"/>
          <w:rtl/>
          <w:lang w:bidi="ar-EG"/>
        </w:rPr>
        <w:t>محمد منظور ألهي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EE1795">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59776" behindDoc="0" locked="0" layoutInCell="1" allowOverlap="1" wp14:anchorId="4455E007" wp14:editId="2D8032E7">
            <wp:simplePos x="0" y="0"/>
            <wp:positionH relativeFrom="margin">
              <wp:posOffset>436880</wp:posOffset>
            </wp:positionH>
            <wp:positionV relativeFrom="paragraph">
              <wp:posOffset>112708</wp:posOffset>
            </wp:positionV>
            <wp:extent cx="4967785" cy="473035"/>
            <wp:effectExtent l="0" t="0" r="0" b="381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67785" cy="473035"/>
                    </a:xfrm>
                    <a:prstGeom prst="rect">
                      <a:avLst/>
                    </a:prstGeom>
                  </pic:spPr>
                </pic:pic>
              </a:graphicData>
            </a:graphic>
            <wp14:sizeRelH relativeFrom="margin">
              <wp14:pctWidth>0</wp14:pctWidth>
            </wp14:sizeRelH>
            <wp14:sizeRelV relativeFrom="margin">
              <wp14:pctHeight>0</wp14:pctHeight>
            </wp14:sizeRelV>
          </wp:anchor>
        </w:drawing>
      </w:r>
      <w:r w:rsidR="00EE1795" w:rsidRPr="00EE1795">
        <w:rPr>
          <w:rFonts w:ascii="Kalpurush" w:hAnsi="Kalpurush" w:cs="Kalpurush" w:hint="cs"/>
          <w:color w:val="205B83"/>
          <w:sz w:val="32"/>
          <w:szCs w:val="32"/>
          <w:cs/>
          <w:lang w:bidi="bn-BD"/>
        </w:rPr>
        <w:t>স্বামী</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মারা</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গেলে</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ইদ্দত</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পালন</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করা</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সংক্রান্ত</w:t>
      </w:r>
      <w:r w:rsidR="00EE1795" w:rsidRPr="00EE1795">
        <w:rPr>
          <w:rFonts w:ascii="Kalpurush" w:hAnsi="Kalpurush" w:cs="Kalpurush"/>
          <w:color w:val="205B83"/>
          <w:sz w:val="32"/>
          <w:szCs w:val="32"/>
          <w:cs/>
          <w:lang w:bidi="bn-BD"/>
        </w:rPr>
        <w:t xml:space="preserve"> </w:t>
      </w:r>
      <w:r w:rsidR="00EE1795" w:rsidRPr="00EE1795">
        <w:rPr>
          <w:rFonts w:ascii="Kalpurush" w:hAnsi="Kalpurush" w:cs="Kalpurush" w:hint="cs"/>
          <w:color w:val="205B83"/>
          <w:sz w:val="32"/>
          <w:szCs w:val="32"/>
          <w:cs/>
          <w:lang w:bidi="bn-BD"/>
        </w:rPr>
        <w:t>বিধি</w:t>
      </w:r>
      <w:r w:rsidR="00EE1795" w:rsidRPr="00EE1795">
        <w:rPr>
          <w:rFonts w:ascii="Kalpurush" w:hAnsi="Kalpurush" w:cs="Kalpurush"/>
          <w:color w:val="205B83"/>
          <w:sz w:val="32"/>
          <w:szCs w:val="32"/>
          <w:cs/>
          <w:lang w:bidi="bn-BD"/>
        </w:rPr>
        <w:t>-</w:t>
      </w:r>
      <w:r w:rsidR="00EE1795" w:rsidRPr="00EE1795">
        <w:rPr>
          <w:rFonts w:ascii="Kalpurush" w:hAnsi="Kalpurush" w:cs="Kalpurush" w:hint="cs"/>
          <w:color w:val="205B83"/>
          <w:sz w:val="32"/>
          <w:szCs w:val="32"/>
          <w:cs/>
          <w:lang w:bidi="bn-BD"/>
        </w:rPr>
        <w:t>বিধান</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EE1795" w:rsidRPr="00EE1795" w:rsidRDefault="00EE1795" w:rsidP="00EE1795">
      <w:pPr>
        <w:bidi w:val="0"/>
        <w:spacing w:after="0"/>
        <w:jc w:val="both"/>
        <w:rPr>
          <w:rFonts w:ascii="Kalpurush" w:hAnsi="Kalpurush" w:cs="Kalpurush"/>
          <w:sz w:val="24"/>
          <w:szCs w:val="24"/>
          <w:lang w:bidi="bn-BD"/>
        </w:rPr>
      </w:pPr>
      <w:r w:rsidRPr="00B9051B">
        <w:rPr>
          <w:rFonts w:ascii="Kalpurush" w:hAnsi="Kalpurush" w:cs="Kalpurush"/>
          <w:cs/>
          <w:lang w:bidi="bn-BD"/>
        </w:rPr>
        <w:t xml:space="preserve">কোনো মহিলার স্বামী মারা গেলে মহিলাকে নিম্নোক্ত কাজ করতে হয়: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১- যে ঘরে স্বামী মারা গেছে, যদি সে সেখানে থাকে তবে সেখান থেকে বের না হওয়া। আর যদি অন্য কোথাও থাকে, তবে সেখান থেকেও ৪</w:t>
      </w:r>
      <w:r w:rsidR="004C3703">
        <w:rPr>
          <w:rFonts w:ascii="Kalpurush" w:hAnsi="Kalpurush" w:cs="Kalpurush" w:hint="cs"/>
          <w:sz w:val="24"/>
          <w:szCs w:val="24"/>
          <w:cs/>
          <w:lang w:bidi="bn-BD"/>
        </w:rPr>
        <w:t xml:space="preserve"> </w:t>
      </w:r>
      <w:r w:rsidRPr="00EE1795">
        <w:rPr>
          <w:rFonts w:ascii="Kalpurush" w:hAnsi="Kalpurush" w:cs="Kalpurush"/>
          <w:sz w:val="24"/>
          <w:szCs w:val="24"/>
          <w:cs/>
          <w:lang w:bidi="bn-BD"/>
        </w:rPr>
        <w:t>মাস দশ দিন বের না হওয়া। কারণ</w:t>
      </w:r>
      <w:r w:rsidR="004C3703">
        <w:rPr>
          <w:rFonts w:ascii="Kalpurush" w:hAnsi="Kalpurush" w:cs="Kalpurush" w:hint="cs"/>
          <w:sz w:val="24"/>
          <w:szCs w:val="24"/>
          <w:cs/>
          <w:lang w:bidi="bn-BD"/>
        </w:rPr>
        <w:t>,</w:t>
      </w:r>
      <w:r w:rsidRPr="00EE1795">
        <w:rPr>
          <w:rFonts w:ascii="Kalpurush" w:hAnsi="Kalpurush" w:cs="Kalpurush"/>
          <w:sz w:val="24"/>
          <w:szCs w:val="24"/>
          <w:cs/>
          <w:lang w:bidi="bn-BD"/>
        </w:rPr>
        <w:t xml:space="preserve"> আল্লাহ তা‘আলা বলেন, </w:t>
      </w:r>
    </w:p>
    <w:p w:rsidR="00EE1795" w:rsidRPr="00EE1795" w:rsidRDefault="00EE1795" w:rsidP="004C3703">
      <w:pPr>
        <w:spacing w:after="0"/>
        <w:jc w:val="both"/>
        <w:rPr>
          <w:rFonts w:ascii="Kalpurush" w:hAnsi="Kalpurush" w:cs="KFGQPC Uthman Taha Naskh"/>
          <w:sz w:val="24"/>
          <w:szCs w:val="24"/>
          <w:lang w:bidi="bn-BD"/>
        </w:rPr>
      </w:pPr>
      <w:r w:rsidRPr="00EE1795">
        <w:rPr>
          <w:rFonts w:ascii="Kalpurush" w:hAnsi="Kalpurush" w:cs="KFGQPC Uthman Taha Naskh"/>
          <w:color w:val="008000"/>
          <w:sz w:val="24"/>
          <w:szCs w:val="24"/>
          <w:rtl/>
        </w:rPr>
        <w:t>﴿</w:t>
      </w:r>
      <w:r w:rsidRPr="00EE1795">
        <w:rPr>
          <w:rFonts w:ascii="Kalpurush" w:hAnsi="Kalpurush" w:cs="KFGQPC Uthmanic Script HAFS"/>
          <w:color w:val="008000"/>
          <w:sz w:val="24"/>
          <w:szCs w:val="24"/>
          <w:rtl/>
        </w:rPr>
        <w:t>وَٱلَّذِينَ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يُتَوَفَّوۡنَ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مِنكُمۡ</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وَيَذَرُونَ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أَزۡوَٰجٗا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يَتَرَبَّصۡنَ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بِأَنفُسِهِنَّ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أَرۡبَعَةَ</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أَشۡهُرٖ</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وَعَشۡرٗاۖ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فَإِذَا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بَلَغۡنَ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أَجَلَهُنَّ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فَلَا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جُنَاحَ</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عَلَيۡكُمۡ</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فِيمَا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فَعَلۡنَ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فِيٓ</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أَنفُسِهِنَّ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بِٱلۡمَعۡرُوفِۗ</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وَٱللَّهُ</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بِمَا</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تَعۡمَلُونَ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خَبِيرٞ</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٢٣٤</w:t>
      </w:r>
      <w:r w:rsidRPr="00EE1795">
        <w:rPr>
          <w:rFonts w:ascii="Kalpurush" w:hAnsi="Kalpurush" w:cs="KFGQPC Uthman Taha Naskh"/>
          <w:color w:val="008000"/>
          <w:sz w:val="24"/>
          <w:szCs w:val="24"/>
          <w:rtl/>
        </w:rPr>
        <w:t xml:space="preserve">﴾ [البقرة: ٢٣٤]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“আর তোমাদের মধ্যে যারা স্ত্রী রেখে মারা যায়, তারা (স্ত্রীগণ) নিজেরা চার মাস দশ দিন অপেক্ষায় থাকবে। অতঃপর যখন তারা তাদের ‘ইদ্দতকাল পূর্ণ করবে, তখন যথাবিধি নিজেদের জন্য যা করবে তাতে তোমাদের কোন</w:t>
      </w:r>
      <w:r w:rsidR="004C3703">
        <w:rPr>
          <w:rFonts w:ascii="Kalpurush" w:hAnsi="Kalpurush" w:cs="Kalpurush"/>
          <w:sz w:val="24"/>
          <w:szCs w:val="24"/>
          <w:cs/>
          <w:lang w:bidi="bn-BD"/>
        </w:rPr>
        <w:t xml:space="preserve"> পাপ নেই। আর তোমরা যা কর আল্লাহ</w:t>
      </w:r>
      <w:r w:rsidRPr="00EE1795">
        <w:rPr>
          <w:rFonts w:ascii="Kalpurush" w:hAnsi="Kalpurush" w:cs="Kalpurush"/>
          <w:sz w:val="24"/>
          <w:szCs w:val="24"/>
          <w:cs/>
          <w:lang w:bidi="bn-BD"/>
        </w:rPr>
        <w:t xml:space="preserve"> সে সম্পর্কে সম্যক খবর রাখেন।”</w:t>
      </w:r>
      <w:r w:rsidRPr="00E27071">
        <w:rPr>
          <w:rFonts w:ascii="Kalpurush" w:hAnsi="Kalpurush" w:cs="SolaimanLipi"/>
          <w:sz w:val="24"/>
          <w:szCs w:val="24"/>
          <w:cs/>
          <w:lang w:bidi="hi-IN"/>
        </w:rPr>
        <w:t xml:space="preserve"> </w:t>
      </w:r>
      <w:r w:rsidRPr="00EE1795">
        <w:rPr>
          <w:rFonts w:ascii="Kalpurush" w:hAnsi="Kalpurush" w:cs="Kalpurush"/>
          <w:sz w:val="24"/>
          <w:szCs w:val="24"/>
          <w:cs/>
          <w:lang w:bidi="bn-BD"/>
        </w:rPr>
        <w:t>[</w:t>
      </w:r>
      <w:r w:rsidRPr="00EE1795">
        <w:rPr>
          <w:rFonts w:ascii="Kalpurush" w:hAnsi="Kalpurush" w:cs="Kalpurush"/>
          <w:sz w:val="24"/>
          <w:szCs w:val="24"/>
          <w:cs/>
          <w:lang w:bidi="bn-IN"/>
        </w:rPr>
        <w:t>সূরা আল</w:t>
      </w:r>
      <w:r w:rsidR="004C3703">
        <w:rPr>
          <w:rFonts w:ascii="Kalpurush" w:hAnsi="Kalpurush" w:cs="Kalpurush"/>
          <w:sz w:val="24"/>
          <w:szCs w:val="24"/>
          <w:cs/>
          <w:lang w:bidi="bn-BD"/>
        </w:rPr>
        <w:t>-বাকারা</w:t>
      </w:r>
      <w:r w:rsidR="004C3703">
        <w:rPr>
          <w:rFonts w:ascii="Kalpurush" w:hAnsi="Kalpurush" w:cs="Kalpurush" w:hint="cs"/>
          <w:sz w:val="24"/>
          <w:szCs w:val="24"/>
          <w:cs/>
          <w:lang w:bidi="bn-BD"/>
        </w:rPr>
        <w:t>, আয়াত</w:t>
      </w:r>
      <w:r w:rsidRPr="00EE1795">
        <w:rPr>
          <w:rFonts w:ascii="Kalpurush" w:hAnsi="Kalpurush" w:cs="Kalpurush"/>
          <w:sz w:val="24"/>
          <w:szCs w:val="24"/>
          <w:cs/>
          <w:lang w:bidi="bn-BD"/>
        </w:rPr>
        <w:t>: ২৩৪]</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 xml:space="preserve">তবে যদি গর্ভবতী হয়, তবে সে সন্তান প্রসবের পরই বের হতে পারবে। কারণ, আল্লাহ বলেন, </w:t>
      </w:r>
    </w:p>
    <w:p w:rsidR="00EE1795" w:rsidRPr="00EE1795" w:rsidRDefault="00EE1795" w:rsidP="004C3703">
      <w:pPr>
        <w:spacing w:after="0"/>
        <w:jc w:val="both"/>
        <w:rPr>
          <w:rFonts w:ascii="Kalpurush" w:hAnsi="Kalpurush" w:cs="KFGQPC Uthman Taha Naskh"/>
          <w:sz w:val="24"/>
          <w:szCs w:val="24"/>
          <w:lang w:bidi="bn-BD"/>
        </w:rPr>
      </w:pPr>
      <w:r w:rsidRPr="00EE1795">
        <w:rPr>
          <w:rFonts w:ascii="Kalpurush" w:hAnsi="Kalpurush" w:cs="KFGQPC Uthman Taha Naskh"/>
          <w:color w:val="008000"/>
          <w:sz w:val="24"/>
          <w:szCs w:val="24"/>
          <w:rtl/>
        </w:rPr>
        <w:t>﴿</w:t>
      </w:r>
      <w:r w:rsidRPr="00EE1795">
        <w:rPr>
          <w:rFonts w:ascii="Kalpurush" w:hAnsi="Kalpurush" w:cs="KFGQPC Uthmanic Script HAFS"/>
          <w:color w:val="008000"/>
          <w:sz w:val="24"/>
          <w:szCs w:val="24"/>
          <w:rtl/>
        </w:rPr>
        <w:t>وَأُوْلَٰتُ</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ٱلۡأَحۡمَالِ</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أَجَلُهُنَّ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أَن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يَضَعۡنَ</w:t>
      </w:r>
      <w:r w:rsidRPr="00EE1795">
        <w:rPr>
          <w:rFonts w:ascii="Kalpurush" w:hAnsi="Kalpurush" w:cs="Kalpurush"/>
          <w:color w:val="008000"/>
          <w:sz w:val="24"/>
          <w:szCs w:val="24"/>
          <w:rtl/>
        </w:rPr>
        <w:t xml:space="preserve"> </w:t>
      </w:r>
      <w:r w:rsidRPr="00EE1795">
        <w:rPr>
          <w:rFonts w:ascii="Kalpurush" w:hAnsi="Kalpurush" w:cs="KFGQPC Uthmanic Script HAFS"/>
          <w:color w:val="008000"/>
          <w:sz w:val="24"/>
          <w:szCs w:val="24"/>
          <w:rtl/>
        </w:rPr>
        <w:t>حَمۡلَهُنَّۚ</w:t>
      </w:r>
      <w:r w:rsidRPr="00EE1795">
        <w:rPr>
          <w:rFonts w:ascii="Kalpurush" w:hAnsi="Kalpurush" w:cs="KFGQPC Uthman Taha Naskh"/>
          <w:color w:val="008000"/>
          <w:sz w:val="24"/>
          <w:szCs w:val="24"/>
          <w:rtl/>
        </w:rPr>
        <w:t xml:space="preserve">﴾ [الطلاق: ٤]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“আর যাদের গর্ভে সন্তান রয়েছে তাদের ইদ্দতকাল হচ্ছে সন্তান প্রসব করা পর্যন্ত”</w:t>
      </w:r>
      <w:r w:rsidRPr="00E27071">
        <w:rPr>
          <w:rFonts w:ascii="Kalpurush" w:hAnsi="Kalpurush" w:cs="SolaimanLipi" w:hint="cs"/>
          <w:sz w:val="24"/>
          <w:szCs w:val="24"/>
          <w:cs/>
          <w:lang w:bidi="hi-IN"/>
        </w:rPr>
        <w:t>।</w:t>
      </w:r>
      <w:r w:rsidRPr="00E27071">
        <w:rPr>
          <w:rFonts w:ascii="Kalpurush" w:hAnsi="Kalpurush" w:cs="SolaimanLipi"/>
          <w:sz w:val="24"/>
          <w:szCs w:val="24"/>
          <w:cs/>
          <w:lang w:bidi="hi-IN"/>
        </w:rPr>
        <w:t xml:space="preserve"> </w:t>
      </w:r>
      <w:r w:rsidRPr="00EE1795">
        <w:rPr>
          <w:rFonts w:ascii="Kalpurush" w:hAnsi="Kalpurush" w:cs="Kalpurush"/>
          <w:sz w:val="24"/>
          <w:szCs w:val="24"/>
          <w:cs/>
          <w:lang w:bidi="bn-BD"/>
        </w:rPr>
        <w:t>[</w:t>
      </w:r>
      <w:r w:rsidRPr="00EE1795">
        <w:rPr>
          <w:rFonts w:ascii="Kalpurush" w:hAnsi="Kalpurush" w:cs="Kalpurush"/>
          <w:sz w:val="24"/>
          <w:szCs w:val="24"/>
          <w:cs/>
          <w:lang w:bidi="bn-IN"/>
        </w:rPr>
        <w:t>সূরা আত</w:t>
      </w:r>
      <w:r w:rsidR="004C3703">
        <w:rPr>
          <w:rFonts w:ascii="Kalpurush" w:hAnsi="Kalpurush" w:cs="Kalpurush"/>
          <w:sz w:val="24"/>
          <w:szCs w:val="24"/>
          <w:cs/>
          <w:lang w:bidi="bn-BD"/>
        </w:rPr>
        <w:t>-ত</w:t>
      </w:r>
      <w:r w:rsidR="004C3703">
        <w:rPr>
          <w:rFonts w:ascii="Kalpurush" w:hAnsi="Kalpurush" w:cs="Kalpurush" w:hint="cs"/>
          <w:sz w:val="24"/>
          <w:szCs w:val="24"/>
          <w:cs/>
          <w:lang w:bidi="bn-BD"/>
        </w:rPr>
        <w:t>্বা</w:t>
      </w:r>
      <w:r w:rsidRPr="00EE1795">
        <w:rPr>
          <w:rFonts w:ascii="Kalpurush" w:hAnsi="Kalpurush" w:cs="Kalpurush"/>
          <w:sz w:val="24"/>
          <w:szCs w:val="24"/>
          <w:cs/>
          <w:lang w:bidi="bn-BD"/>
        </w:rPr>
        <w:t>লাক</w:t>
      </w:r>
      <w:r w:rsidR="004C3703">
        <w:rPr>
          <w:rFonts w:ascii="Kalpurush" w:hAnsi="Kalpurush" w:cs="Kalpurush" w:hint="cs"/>
          <w:sz w:val="24"/>
          <w:szCs w:val="24"/>
          <w:cs/>
          <w:lang w:bidi="bn-BD"/>
        </w:rPr>
        <w:t>, আয়াত</w:t>
      </w:r>
      <w:r w:rsidRPr="00EE1795">
        <w:rPr>
          <w:rFonts w:ascii="Kalpurush" w:hAnsi="Kalpurush" w:cs="Kalpurush"/>
          <w:sz w:val="24"/>
          <w:szCs w:val="24"/>
          <w:cs/>
          <w:lang w:bidi="bn-BD"/>
        </w:rPr>
        <w:t>: ৪]</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 xml:space="preserve">তবে একান্ত প্রয়োজন বা আবশ্যকীয় কাজে বের হতে পারবে, যেমন, রোগী হলে ডাক্তার দেখানো, খাবার ক্রয় ইত্যাদি, যখন তার কাজ করে দেওয়ার কেউ থাকবে না। অনুরূপভাবে ঘর নষ্ট হয়ে গেলেও বের হতে পারবে। তাছাড়া একাকী সে ঘরে ভয় পেলেও সেখান থেকে বের হতে  পারবে।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২- ইদ্দতের সময় শেষ না হওয়া পর্যন্ত সাজসজ্জার পোষাক পরিধান করতে পারবে না। হলুদ</w:t>
      </w:r>
      <w:r w:rsidR="004C3703">
        <w:rPr>
          <w:rFonts w:ascii="Kalpurush" w:hAnsi="Kalpurush" w:cs="Kalpurush"/>
          <w:sz w:val="24"/>
          <w:szCs w:val="24"/>
          <w:cs/>
          <w:lang w:bidi="bn-BD"/>
        </w:rPr>
        <w:t xml:space="preserve"> বা সবুজ বা অন্যকোনো রঙীন পোষাক</w:t>
      </w:r>
      <w:r w:rsidR="004C3703">
        <w:rPr>
          <w:rFonts w:ascii="Kalpurush" w:hAnsi="Kalpurush" w:cs="Kalpurush" w:hint="cs"/>
          <w:sz w:val="24"/>
          <w:szCs w:val="24"/>
          <w:cs/>
          <w:lang w:bidi="bn-BD"/>
        </w:rPr>
        <w:t>;</w:t>
      </w:r>
      <w:r w:rsidRPr="00EE1795">
        <w:rPr>
          <w:rFonts w:ascii="Kalpurush" w:hAnsi="Kalpurush" w:cs="Kalpurush"/>
          <w:sz w:val="24"/>
          <w:szCs w:val="24"/>
          <w:cs/>
          <w:lang w:bidi="bn-BD"/>
        </w:rPr>
        <w:t xml:space="preserve"> বরং সাজসজ্জাহীন পোষাক পরিধান করবে। রাসূল সাল্লাল্লাহু আলাইহি ওয়াসাল্লাম এ নির্দেশই দিয়েছেন।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 xml:space="preserve">৩- ইদ্দতের সময় শেষ না হওয়া পর্যন্ত স্বর্ণ, রৌপ্য, আলমাস (ডায়মণ্ড), বা মনি-মুক্তার কোনো অলঙ্কার পরিধান করতে পারবে না। </w:t>
      </w:r>
    </w:p>
    <w:p w:rsidR="00EE1795" w:rsidRPr="00EE1795" w:rsidRDefault="00EE1795" w:rsidP="00EE1795">
      <w:pPr>
        <w:bidi w:val="0"/>
        <w:spacing w:after="0"/>
        <w:jc w:val="both"/>
        <w:rPr>
          <w:rFonts w:ascii="Kalpurush" w:hAnsi="Kalpurush" w:cs="Kalpurush"/>
          <w:sz w:val="24"/>
          <w:szCs w:val="24"/>
          <w:lang w:bidi="bn-BD"/>
        </w:rPr>
      </w:pPr>
      <w:r w:rsidRPr="00EE1795">
        <w:rPr>
          <w:rFonts w:ascii="Kalpurush" w:hAnsi="Kalpurush" w:cs="Kalpurush"/>
          <w:sz w:val="24"/>
          <w:szCs w:val="24"/>
          <w:cs/>
          <w:lang w:bidi="bn-BD"/>
        </w:rPr>
        <w:t xml:space="preserve">৪- শরীরে বা কাপড়ে খোশবু ব্যাবহার করতে পারবে না। তবে যদি কোনো কারণে দুর্গন্ধ অনুভুত হয়, তখন সেটি দূর করার জন্য সাময়িকভাবে লাগাতে পারবে। </w:t>
      </w:r>
    </w:p>
    <w:p w:rsidR="00E942BB" w:rsidRPr="00E27071" w:rsidRDefault="00EE1795" w:rsidP="004C3703">
      <w:pPr>
        <w:bidi w:val="0"/>
        <w:spacing w:after="0"/>
        <w:jc w:val="both"/>
        <w:rPr>
          <w:rFonts w:asciiTheme="majorBidi" w:hAnsiTheme="majorBidi" w:cs="Kalpurush"/>
          <w:color w:val="006666"/>
          <w:sz w:val="24"/>
          <w:szCs w:val="24"/>
          <w:cs/>
          <w:lang w:bidi="bn-BD"/>
        </w:rPr>
      </w:pPr>
      <w:r w:rsidRPr="00EE1795">
        <w:rPr>
          <w:rFonts w:ascii="Kalpurush" w:hAnsi="Kalpurush" w:cs="Kalpurush"/>
          <w:sz w:val="24"/>
          <w:szCs w:val="24"/>
          <w:cs/>
          <w:lang w:bidi="bn-BD"/>
        </w:rPr>
        <w:t>৫- ইদ্দতের সময় শেষ না হওয়া পর্যন্ত সুরমা লাগাবে না, চেহারায় সৌন্দর্যবর্ধক কিছু লাগাবে না। তবে সাধারণ, পানি ও সাবান দিয়ে ধৌত করতে পারবে। মেহেদী ব্যবহার করতে পারবে না। তাকে সরাসরি কেউ বিয়ের প্রস্তাব দিতে পারবে না। সেও বিয়ের কথা বলবে না।</w:t>
      </w: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cs/>
          <w:lang w:bidi="bn-BD"/>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4C3703">
      <w:pPr>
        <w:spacing w:after="0" w:line="240" w:lineRule="auto"/>
        <w:jc w:val="both"/>
        <w:rPr>
          <w:rFonts w:asciiTheme="majorBidi" w:hAnsiTheme="majorBidi" w:cstheme="majorBidi"/>
          <w:b/>
          <w:bCs/>
          <w:color w:val="1F3864" w:themeColor="accent5" w:themeShade="80"/>
          <w:sz w:val="32"/>
          <w:szCs w:val="32"/>
          <w:rtl/>
          <w:lang w:bidi="ar-EG"/>
        </w:rPr>
      </w:pPr>
    </w:p>
    <w:p w:rsidR="005666DC" w:rsidRPr="00DF7E4B" w:rsidRDefault="000A6307" w:rsidP="004C3703">
      <w:pPr>
        <w:bidi w:val="0"/>
        <w:spacing w:after="0" w:line="240" w:lineRule="auto"/>
        <w:ind w:firstLine="397"/>
        <w:jc w:val="center"/>
        <w:rPr>
          <w:rFonts w:asciiTheme="majorBidi" w:hAnsiTheme="majorBidi" w:cstheme="majorBidi"/>
          <w:color w:val="006666"/>
          <w:sz w:val="32"/>
          <w:szCs w:val="32"/>
          <w:rtl/>
        </w:rPr>
      </w:pPr>
      <w:r w:rsidRPr="00DF7E4B">
        <w:rPr>
          <w:rFonts w:asciiTheme="majorBidi" w:hAnsiTheme="majorBidi" w:cstheme="majorBidi"/>
          <w:sz w:val="32"/>
          <w:szCs w:val="32"/>
          <w:lang w:bidi="ar-EG"/>
        </w:rPr>
        <w:br w:type="page"/>
      </w:r>
      <w:r w:rsidR="00DC6A8E"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2322" w:rsidRDefault="00C22322" w:rsidP="00E32771">
      <w:pPr>
        <w:spacing w:after="0" w:line="240" w:lineRule="auto"/>
      </w:pPr>
      <w:r>
        <w:separator/>
      </w:r>
    </w:p>
  </w:endnote>
  <w:endnote w:type="continuationSeparator" w:id="0">
    <w:p w:rsidR="00C22322" w:rsidRDefault="00C2232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AA092F7E-7E0B-4019-89ED-E4F5B0A510DA}"/>
    <w:embedBold r:id="rId2" w:fontKey="{F2DB937A-A879-49A9-8A7B-6F986E0BDCDA}"/>
  </w:font>
  <w:font w:name="Arial">
    <w:panose1 w:val="020B0604020202020204"/>
    <w:charset w:val="00"/>
    <w:family w:val="swiss"/>
    <w:pitch w:val="variable"/>
    <w:sig w:usb0="E0002AFF" w:usb1="00007843" w:usb2="00000001" w:usb3="00000000" w:csb0="000001FF" w:csb1="00000000"/>
    <w:embedRegular r:id="rId3" w:fontKey="{6CFD46A6-9613-427A-BEF7-D762C2899373}"/>
  </w:font>
  <w:font w:name="Times New Roman">
    <w:panose1 w:val="02020603050405020304"/>
    <w:charset w:val="00"/>
    <w:family w:val="roman"/>
    <w:pitch w:val="variable"/>
    <w:sig w:usb0="E0002AFF" w:usb1="00007843" w:usb2="00000001" w:usb3="00000000" w:csb0="000001FF" w:csb1="00000000"/>
    <w:embedRegular r:id="rId4" w:fontKey="{BFAFD36F-2614-47B8-AC2C-979C14D712C9}"/>
    <w:embedBold r:id="rId5" w:fontKey="{EDE677A3-65BF-422B-A83D-C64F998892BC}"/>
  </w:font>
  <w:font w:name="Kalpurush">
    <w:panose1 w:val="02000600000000000000"/>
    <w:charset w:val="00"/>
    <w:family w:val="auto"/>
    <w:pitch w:val="variable"/>
    <w:sig w:usb0="00010003" w:usb1="00000000" w:usb2="00000000" w:usb3="00000000" w:csb0="00000001" w:csb1="00000000"/>
    <w:embedRegular r:id="rId6" w:fontKey="{7FF60D17-5D9C-42F6-94B2-016B38FCB924}"/>
  </w:font>
  <w:font w:name="KFGQPC Uthman Taha Naskh">
    <w:panose1 w:val="02000000000000000000"/>
    <w:charset w:val="B2"/>
    <w:family w:val="auto"/>
    <w:pitch w:val="variable"/>
    <w:sig w:usb0="80002001" w:usb1="90000000" w:usb2="00000008" w:usb3="00000000" w:csb0="00000040" w:csb1="00000000"/>
    <w:embedRegular r:id="rId7" w:fontKey="{4F6D3F0C-DB2C-4446-AC5F-9B9CDF9B7C90}"/>
    <w:embedBold r:id="rId8" w:fontKey="{437B084F-CDA4-4F14-AC63-4FE6F16957EF}"/>
  </w:font>
  <w:font w:name="Vrinda">
    <w:panose1 w:val="020B0502040204020203"/>
    <w:charset w:val="00"/>
    <w:family w:val="auto"/>
    <w:pitch w:val="variable"/>
    <w:sig w:usb0="00010003" w:usb1="00000000" w:usb2="00000000" w:usb3="00000000" w:csb0="00000001" w:csb1="00000000"/>
    <w:embedRegular r:id="rId9" w:fontKey="{01356C0E-F9FF-4102-8BF5-8E793CD861D3}"/>
  </w:font>
  <w:font w:name="Wingdings">
    <w:panose1 w:val="05000000000000000000"/>
    <w:charset w:val="02"/>
    <w:family w:val="auto"/>
    <w:pitch w:val="variable"/>
    <w:sig w:usb0="00000000" w:usb1="10000000" w:usb2="00000000" w:usb3="00000000" w:csb0="80000000" w:csb1="00000000"/>
    <w:embedRegular r:id="rId10" w:fontKey="{BF06EE64-3FA6-4318-A788-F9FEB701C104}"/>
  </w:font>
  <w:font w:name="Wingdings 2">
    <w:panose1 w:val="05020102010507070707"/>
    <w:charset w:val="02"/>
    <w:family w:val="roman"/>
    <w:pitch w:val="variable"/>
    <w:sig w:usb0="00000000" w:usb1="10000000" w:usb2="00000000" w:usb3="00000000" w:csb0="80000000" w:csb1="00000000"/>
    <w:embedRegular r:id="rId11" w:fontKey="{7B0B16CE-FB17-48D3-B9FA-82C88CBAC708}"/>
  </w:font>
  <w:font w:name="Kalpurush ANSI">
    <w:panose1 w:val="02000000000000000000"/>
    <w:charset w:val="00"/>
    <w:family w:val="auto"/>
    <w:pitch w:val="variable"/>
    <w:sig w:usb0="A00000AF" w:usb1="00000048" w:usb2="00000000" w:usb3="00000000" w:csb0="00000111" w:csb1="00000000"/>
    <w:embedBold r:id="rId12" w:fontKey="{7283D6B8-6105-40DF-BC81-583B7042C399}"/>
  </w:font>
  <w:font w:name="KFGQPC Uthmanic Script HAFS">
    <w:panose1 w:val="02000000000000000000"/>
    <w:charset w:val="B2"/>
    <w:family w:val="auto"/>
    <w:pitch w:val="variable"/>
    <w:sig w:usb0="00002001" w:usb1="00000000" w:usb2="00000000" w:usb3="00000000" w:csb0="00000040" w:csb1="00000000"/>
    <w:embedRegular r:id="rId13" w:fontKey="{20043C38-0C23-4150-BC6F-482E371C930F}"/>
  </w:font>
  <w:font w:name="SolaimanLipi">
    <w:panose1 w:val="03000600000000000000"/>
    <w:charset w:val="00"/>
    <w:family w:val="script"/>
    <w:pitch w:val="variable"/>
    <w:sig w:usb0="80018007" w:usb1="00002000" w:usb2="00000000" w:usb3="00000000" w:csb0="00000093" w:csb1="00000000"/>
    <w:embedRegular r:id="rId14" w:fontKey="{0B8EB45A-3C23-4FAB-B2FC-AE95AA80686E}"/>
  </w:font>
  <w:font w:name="Calibri Light">
    <w:panose1 w:val="020F0302020204030204"/>
    <w:charset w:val="00"/>
    <w:family w:val="swiss"/>
    <w:pitch w:val="variable"/>
    <w:sig w:usb0="A00002EF" w:usb1="4000207B" w:usb2="00000000" w:usb3="00000000" w:csb0="0000019F" w:csb1="00000000"/>
    <w:embedRegular r:id="rId15" w:fontKey="{395693E2-03E7-4AE9-99D6-B85FE4CC0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56192"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8AAF57" id="Group 42" o:spid="_x0000_s1026" style="position:absolute;margin-left:-62.8pt;margin-top:-16.1pt;width:573.25pt;height:25.25pt;z-index:25165619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2322" w:rsidRDefault="00C22322" w:rsidP="00E32771">
      <w:pPr>
        <w:spacing w:after="0" w:line="240" w:lineRule="auto"/>
      </w:pPr>
      <w:r>
        <w:separator/>
      </w:r>
    </w:p>
  </w:footnote>
  <w:footnote w:type="continuationSeparator" w:id="0">
    <w:p w:rsidR="00C22322" w:rsidRDefault="00C2232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62336" behindDoc="0" locked="0" layoutInCell="1" allowOverlap="1" wp14:anchorId="4202BEB4" wp14:editId="7E5ADF25">
              <wp:simplePos x="0" y="0"/>
              <wp:positionH relativeFrom="column">
                <wp:posOffset>-1123067</wp:posOffset>
              </wp:positionH>
              <wp:positionV relativeFrom="paragraph">
                <wp:posOffset>-171919</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98480" y="58793"/>
                          <a:ext cx="2245293" cy="258573"/>
                        </a:xfrm>
                        <a:prstGeom prst="rect">
                          <a:avLst/>
                        </a:prstGeom>
                        <a:solidFill>
                          <a:schemeClr val="bg1"/>
                        </a:solidFill>
                        <a:ln w="9525">
                          <a:noFill/>
                          <a:miter lim="800000"/>
                          <a:headEnd/>
                          <a:tailEnd/>
                        </a:ln>
                      </wps:spPr>
                      <wps:txbx>
                        <w:txbxContent>
                          <w:p w:rsidR="0013579E" w:rsidRPr="008378B2" w:rsidRDefault="004C3703" w:rsidP="004C3703">
                            <w:pPr>
                              <w:bidi w:val="0"/>
                              <w:spacing w:before="80" w:after="0" w:line="240" w:lineRule="auto"/>
                              <w:jc w:val="both"/>
                              <w:rPr>
                                <w:rFonts w:ascii="Kalpurush" w:hAnsi="Kalpurush" w:cs="Kalpurush"/>
                                <w:color w:val="205B83"/>
                                <w:sz w:val="20"/>
                                <w:szCs w:val="24"/>
                                <w:lang w:bidi="bn-BD"/>
                              </w:rPr>
                            </w:pPr>
                            <w:r>
                              <w:rPr>
                                <w:rFonts w:ascii="Kalpurush" w:hAnsi="Kalpurush" w:cs="Kalpurush" w:hint="cs"/>
                                <w:color w:val="205B83"/>
                                <w:sz w:val="20"/>
                                <w:szCs w:val="24"/>
                                <w:cs/>
                                <w:lang w:bidi="bn-BD"/>
                              </w:rPr>
                              <w:t xml:space="preserve"> স্বা</w:t>
                            </w:r>
                            <w:r w:rsidR="00EE1795" w:rsidRPr="00EE1795">
                              <w:rPr>
                                <w:rFonts w:ascii="Kalpurush" w:hAnsi="Kalpurush" w:cs="Kalpurush" w:hint="cs"/>
                                <w:color w:val="205B83"/>
                                <w:sz w:val="20"/>
                                <w:szCs w:val="24"/>
                                <w:cs/>
                                <w:lang w:bidi="bn-BD"/>
                              </w:rPr>
                              <w:t>মী</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মারা</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গেলে</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ইদ্দত</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পালন</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করা</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সংক্রান্ত</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বিধি</w:t>
                            </w:r>
                            <w:r w:rsidR="00EE1795" w:rsidRPr="00EE1795">
                              <w:rPr>
                                <w:rFonts w:ascii="Kalpurush" w:hAnsi="Kalpurush" w:cs="Kalpurush"/>
                                <w:color w:val="205B83"/>
                                <w:sz w:val="20"/>
                                <w:szCs w:val="24"/>
                                <w:cs/>
                                <w:lang w:bidi="bn-BD"/>
                              </w:rPr>
                              <w:t>-</w:t>
                            </w:r>
                            <w:r w:rsidR="00EE1795" w:rsidRPr="00EE1795">
                              <w:rPr>
                                <w:rFonts w:ascii="Kalpurush" w:hAnsi="Kalpurush" w:cs="Kalpurush" w:hint="cs"/>
                                <w:color w:val="205B83"/>
                                <w:sz w:val="20"/>
                                <w:szCs w:val="24"/>
                                <w:cs/>
                                <w:lang w:bidi="bn-BD"/>
                              </w:rPr>
                              <w:t>বিধান</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FB3843">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88.45pt;margin-top:-13.55pt;width:544.3pt;height:35.95pt;z-index:251662336;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iwygQAAOE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">
              <v:shapetype id="_x0000_t202" coordsize="21600,21600" o:spt="202" path="m,l,21600r21600,l21600,xe">
                <v:stroke joinstyle="miter"/>
                <v:path gradientshapeok="t" o:connecttype="rect"/>
              </v:shapetype>
              <v:shape id="Text Box 2" o:spid="_x0000_s1027" type="#_x0000_t202" style="position:absolute;left:1984;top:587;width:22453;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4C3703" w:rsidP="004C3703">
                      <w:pPr>
                        <w:bidi w:val="0"/>
                        <w:spacing w:before="80" w:after="0" w:line="240" w:lineRule="auto"/>
                        <w:jc w:val="both"/>
                        <w:rPr>
                          <w:rFonts w:ascii="Kalpurush" w:hAnsi="Kalpurush" w:cs="Kalpurush"/>
                          <w:color w:val="205B83"/>
                          <w:sz w:val="20"/>
                          <w:szCs w:val="24"/>
                          <w:lang w:bidi="bn-BD"/>
                        </w:rPr>
                      </w:pPr>
                      <w:r>
                        <w:rPr>
                          <w:rFonts w:ascii="Kalpurush" w:hAnsi="Kalpurush" w:cs="Kalpurush" w:hint="cs"/>
                          <w:color w:val="205B83"/>
                          <w:sz w:val="20"/>
                          <w:szCs w:val="24"/>
                          <w:cs/>
                          <w:lang w:bidi="bn-BD"/>
                        </w:rPr>
                        <w:t xml:space="preserve"> স্বা</w:t>
                      </w:r>
                      <w:r w:rsidR="00EE1795" w:rsidRPr="00EE1795">
                        <w:rPr>
                          <w:rFonts w:ascii="Kalpurush" w:hAnsi="Kalpurush" w:cs="Kalpurush" w:hint="cs"/>
                          <w:color w:val="205B83"/>
                          <w:sz w:val="20"/>
                          <w:szCs w:val="24"/>
                          <w:cs/>
                          <w:lang w:bidi="bn-BD"/>
                        </w:rPr>
                        <w:t>মী</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মারা</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গেলে</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ইদ্দত</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পালন</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করা</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সংক্রান্ত</w:t>
                      </w:r>
                      <w:r w:rsidR="00EE1795" w:rsidRPr="00EE1795">
                        <w:rPr>
                          <w:rFonts w:ascii="Kalpurush" w:hAnsi="Kalpurush" w:cs="Kalpurush"/>
                          <w:color w:val="205B83"/>
                          <w:sz w:val="20"/>
                          <w:szCs w:val="24"/>
                          <w:cs/>
                          <w:lang w:bidi="bn-BD"/>
                        </w:rPr>
                        <w:t xml:space="preserve"> </w:t>
                      </w:r>
                      <w:r w:rsidR="00EE1795" w:rsidRPr="00EE1795">
                        <w:rPr>
                          <w:rFonts w:ascii="Kalpurush" w:hAnsi="Kalpurush" w:cs="Kalpurush" w:hint="cs"/>
                          <w:color w:val="205B83"/>
                          <w:sz w:val="20"/>
                          <w:szCs w:val="24"/>
                          <w:cs/>
                          <w:lang w:bidi="bn-BD"/>
                        </w:rPr>
                        <w:t>বিধি</w:t>
                      </w:r>
                      <w:r w:rsidR="00EE1795" w:rsidRPr="00EE1795">
                        <w:rPr>
                          <w:rFonts w:ascii="Kalpurush" w:hAnsi="Kalpurush" w:cs="Kalpurush"/>
                          <w:color w:val="205B83"/>
                          <w:sz w:val="20"/>
                          <w:szCs w:val="24"/>
                          <w:cs/>
                          <w:lang w:bidi="bn-BD"/>
                        </w:rPr>
                        <w:t>-</w:t>
                      </w:r>
                      <w:r w:rsidR="00EE1795" w:rsidRPr="00EE1795">
                        <w:rPr>
                          <w:rFonts w:ascii="Kalpurush" w:hAnsi="Kalpurush" w:cs="Kalpurush" w:hint="cs"/>
                          <w:color w:val="205B83"/>
                          <w:sz w:val="20"/>
                          <w:szCs w:val="24"/>
                          <w:cs/>
                          <w:lang w:bidi="bn-BD"/>
                        </w:rPr>
                        <w:t>বিধান</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FB3843">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60288"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F1BBDA" id="Group 19" o:spid="_x0000_s1026" style="position:absolute;margin-left:0;margin-top:-35.5pt;width:596.25pt;height:842.1pt;z-index:25166028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54144"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FB384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FB3843">
                              <w:rPr>
                                <w:rFonts w:asciiTheme="majorBidi" w:hAnsiTheme="majorBidi" w:cstheme="majorBidi"/>
                                <w:color w:val="205B83"/>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FB3843">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FB3843">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58240"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021FD9" id="Group 18" o:spid="_x0000_s1026" style="position:absolute;margin-left:0;margin-top:-35.45pt;width:595.15pt;height:841.85pt;z-index:251658240;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1401B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embedTrueTypeFonts/>
  <w:embedSystem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795"/>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C3703"/>
    <w:rsid w:val="004D08C4"/>
    <w:rsid w:val="004E2AD6"/>
    <w:rsid w:val="004E2DC3"/>
    <w:rsid w:val="004E38A0"/>
    <w:rsid w:val="004E78EF"/>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E6794"/>
    <w:rsid w:val="00BF04A9"/>
    <w:rsid w:val="00C03201"/>
    <w:rsid w:val="00C21104"/>
    <w:rsid w:val="00C22322"/>
    <w:rsid w:val="00C37C22"/>
    <w:rsid w:val="00C45A48"/>
    <w:rsid w:val="00C50098"/>
    <w:rsid w:val="00C72BD4"/>
    <w:rsid w:val="00C90E54"/>
    <w:rsid w:val="00CD4735"/>
    <w:rsid w:val="00CF6E7F"/>
    <w:rsid w:val="00D12355"/>
    <w:rsid w:val="00D46176"/>
    <w:rsid w:val="00D66F1F"/>
    <w:rsid w:val="00D7109D"/>
    <w:rsid w:val="00D85A5F"/>
    <w:rsid w:val="00DB48B2"/>
    <w:rsid w:val="00DC6A8E"/>
    <w:rsid w:val="00DF7E4B"/>
    <w:rsid w:val="00E0449C"/>
    <w:rsid w:val="00E210FF"/>
    <w:rsid w:val="00E25D4B"/>
    <w:rsid w:val="00E27071"/>
    <w:rsid w:val="00E270CA"/>
    <w:rsid w:val="00E32771"/>
    <w:rsid w:val="00E443FF"/>
    <w:rsid w:val="00E65ECA"/>
    <w:rsid w:val="00E942BB"/>
    <w:rsid w:val="00E96A90"/>
    <w:rsid w:val="00EB6A67"/>
    <w:rsid w:val="00EE1795"/>
    <w:rsid w:val="00F11B8A"/>
    <w:rsid w:val="00F14FCB"/>
    <w:rsid w:val="00F2420A"/>
    <w:rsid w:val="00F25412"/>
    <w:rsid w:val="00F3173B"/>
    <w:rsid w:val="00F80820"/>
    <w:rsid w:val="00FB3843"/>
    <w:rsid w:val="00FD3D68"/>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DC1C09-3D28-46F8-929B-7C80C5A1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C6835-A385-4383-B109-DD7B1DFE8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13</TotalTime>
  <Pages>3</Pages>
  <Words>379</Words>
  <Characters>1920</Characters>
  <Application>Microsoft Office Word</Application>
  <DocSecurity>0</DocSecurity>
  <Lines>57</Lines>
  <Paragraphs>23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স্বামী মারা গেলে ইদ্দত পালন করা সংক্রান্ত বিধি-বিধান</vt:lpstr>
      <vt:lpstr/>
    </vt:vector>
  </TitlesOfParts>
  <Manager/>
  <Company>islamhouse.com</Company>
  <LinksUpToDate>false</LinksUpToDate>
  <CharactersWithSpaces>2314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স্বামী মারা গেলে ইদ্দত পালন করা সংক্রান্ত বিধি-বিধান</dc:title>
  <dc:subject>স্বামী মারা গেলে ইদ্দত পালন করা সংক্রান্ত বিধি-বিধান</dc:subject>
  <dc:creator>শাইখ মুহাম্মাদ সালেহ আল-মুনাজ্জিদ</dc:creator>
  <cp:keywords>স্বামী মারা গেলে ইদ্দত পালন করা সংক্রান্ত বিধি-বিধান</cp:keywords>
  <dc:description>স্বামী মারা গেলে ইদ্দত পালন করা সংক্রান্ত বিধি-বিধান</dc:description>
  <cp:lastModifiedBy>Mahmoud</cp:lastModifiedBy>
  <cp:revision>5</cp:revision>
  <cp:lastPrinted>2015-03-07T18:24:00Z</cp:lastPrinted>
  <dcterms:created xsi:type="dcterms:W3CDTF">2016-03-14T17:00:00Z</dcterms:created>
  <dcterms:modified xsi:type="dcterms:W3CDTF">2016-03-16T20:54:00Z</dcterms:modified>
  <cp:category/>
</cp:coreProperties>
</file>