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3B8" w:rsidRDefault="005163B8" w:rsidP="005163B8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</w:p>
    <w:p w:rsidR="00244087" w:rsidRPr="00DD36C5" w:rsidRDefault="005163B8" w:rsidP="005163B8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7D76E44B" wp14:editId="55210456">
            <wp:simplePos x="0" y="0"/>
            <wp:positionH relativeFrom="margin">
              <wp:posOffset>450215</wp:posOffset>
            </wp:positionH>
            <wp:positionV relativeFrom="paragraph">
              <wp:posOffset>837565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3B8">
        <w:rPr>
          <w:rFonts w:asciiTheme="majorBidi" w:eastAsia="Verdana" w:hAnsiTheme="majorBidi" w:cstheme="majorBidi"/>
          <w:sz w:val="40"/>
          <w:szCs w:val="40"/>
          <w:lang w:eastAsia="zh-CN" w:bidi="ar-SY"/>
        </w:rPr>
        <w:t>FARE DONI PER LA RICORRENZA (ʿĪD) RAPPRESENTA ERESIA (BIDʿAH)?</w:t>
      </w:r>
    </w:p>
    <w:p w:rsidR="00FD1E49" w:rsidRPr="00C67DCB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bidi="ar-EG"/>
        </w:rPr>
      </w:pPr>
    </w:p>
    <w:p w:rsidR="002D325A" w:rsidRDefault="002D325A" w:rsidP="002D325A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  <w:bookmarkEnd w:id="0"/>
    </w:p>
    <w:p w:rsidR="00FD1E49" w:rsidRPr="00942804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FD1E49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Reviewing: </w:t>
      </w:r>
      <w:r w:rsidR="00405A8C" w:rsidRPr="00AA61C5">
        <w:rPr>
          <w:rFonts w:asciiTheme="majorHAnsi" w:hAnsiTheme="majorHAnsi" w:cstheme="majorHAnsi"/>
          <w:sz w:val="32"/>
          <w:szCs w:val="32"/>
          <w:lang w:bidi="ar-EG"/>
        </w:rPr>
        <w:t>A cura del Team della sezione italiana di Islamhouse</w:t>
      </w:r>
    </w:p>
    <w:p w:rsidR="00FD1E49" w:rsidRPr="00665E3F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5163B8" w:rsidRDefault="005163B8" w:rsidP="00FD1E49">
      <w:pPr>
        <w:jc w:val="center"/>
        <w:rPr>
          <w:rFonts w:ascii="ae_AlArabiya" w:hAnsi="ae_AlArabiya" w:cs="KFGQPC Uthman Taha Naskh"/>
          <w:b/>
          <w:bCs/>
          <w:sz w:val="30"/>
          <w:szCs w:val="32"/>
          <w:rtl/>
          <w:lang w:bidi="ar-EG"/>
        </w:rPr>
      </w:pPr>
      <w:r w:rsidRPr="005163B8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lastRenderedPageBreak/>
        <w:t>هل</w:t>
      </w:r>
      <w:r w:rsidRPr="005163B8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5163B8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إعطاء</w:t>
      </w:r>
      <w:r w:rsidRPr="005163B8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5163B8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الهدايا</w:t>
      </w:r>
      <w:r w:rsidRPr="005163B8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5163B8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في</w:t>
      </w:r>
      <w:r w:rsidRPr="005163B8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5163B8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العيد</w:t>
      </w:r>
      <w:r w:rsidRPr="005163B8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5163B8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بدعة</w:t>
      </w:r>
    </w:p>
    <w:p w:rsidR="00FD1E49" w:rsidRPr="006D26A1" w:rsidRDefault="00BE5547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 xml:space="preserve"> </w:t>
      </w:r>
      <w:r w:rsidR="008A58B6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FD1E49">
      <w:pPr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2D325A" w:rsidRPr="002D325A" w:rsidRDefault="002D325A" w:rsidP="002D325A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  <w:bookmarkStart w:id="1" w:name="OLE_LINK1"/>
      <w:r w:rsidRPr="002D325A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2D325A" w:rsidRDefault="002D325A" w:rsidP="00665E3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bookmarkEnd w:id="1"/>
    <w:p w:rsidR="00405A8C" w:rsidRPr="006D26A1" w:rsidRDefault="00405A8C" w:rsidP="00405A8C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 </w:t>
      </w: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: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فريق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اللغة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الإيطالية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بموقع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دار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الإسلام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BE5547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023AE1" wp14:editId="0D99AE85">
            <wp:simplePos x="0" y="0"/>
            <wp:positionH relativeFrom="margin">
              <wp:posOffset>-231775</wp:posOffset>
            </wp:positionH>
            <wp:positionV relativeFrom="paragraph">
              <wp:posOffset>184439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9A" w:rsidRDefault="0073409A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2" w:name="_Hlk481656827"/>
    </w:p>
    <w:p w:rsidR="0073409A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</w:p>
    <w:p w:rsidR="005163B8" w:rsidRDefault="005163B8" w:rsidP="005163B8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</w:p>
    <w:p w:rsidR="005163B8" w:rsidRDefault="005163B8" w:rsidP="005163B8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lastRenderedPageBreak/>
        <w:t>FARE DONI PER LA RICORRENZA (</w:t>
      </w:r>
      <w:r>
        <w:rPr>
          <w:rFonts w:asciiTheme="majorBidi" w:eastAsia="Verdana" w:hAnsiTheme="majorBidi" w:cstheme="majorBidi"/>
          <w:i/>
          <w:iCs/>
          <w:color w:val="800000"/>
          <w:sz w:val="28"/>
          <w:szCs w:val="28"/>
          <w:u w:val="single"/>
          <w:lang w:eastAsia="zh-CN" w:bidi="ar-SY"/>
        </w:rPr>
        <w:t>ʿĪD</w:t>
      </w: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t>) RAPPRESENTA ERESIA (</w:t>
      </w:r>
      <w:r>
        <w:rPr>
          <w:rFonts w:asciiTheme="majorBidi" w:eastAsia="Verdana" w:hAnsiTheme="majorBidi" w:cstheme="majorBidi"/>
          <w:i/>
          <w:iCs/>
          <w:color w:val="800000"/>
          <w:sz w:val="28"/>
          <w:szCs w:val="28"/>
          <w:u w:val="single"/>
          <w:lang w:eastAsia="zh-CN" w:bidi="ar-SY"/>
        </w:rPr>
        <w:t>BIDʿAH</w:t>
      </w: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t>)?</w:t>
      </w:r>
    </w:p>
    <w:bookmarkEnd w:id="2"/>
    <w:p w:rsidR="005163B8" w:rsidRDefault="005163B8" w:rsidP="005163B8">
      <w:pPr>
        <w:bidi w:val="0"/>
        <w:spacing w:line="256" w:lineRule="auto"/>
        <w:jc w:val="both"/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</w:pP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 xml:space="preserve">È lecito fare alcuni doni ai membri della mia famiglia alla 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Ricorrenza del Sacrificio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 xml:space="preserve"> (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ʿĪd Al-ʾAḑĥā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 xml:space="preserve">) e alla 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Ricorrenza della Rottura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 xml:space="preserve"> (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ʿĪd Al-Fiţr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>) mantenendo costanza in ciò o rappresenta un’eresia (</w:t>
      </w:r>
      <w:r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zh-CN" w:bidi="ar-SY"/>
        </w:rPr>
        <w:t>bidʿah</w:t>
      </w: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>)?</w:t>
      </w:r>
    </w:p>
    <w:p w:rsidR="005163B8" w:rsidRDefault="005163B8" w:rsidP="005163B8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La lode a Iddio.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Non v’è disagio nel fare doni alle </w:t>
      </w:r>
      <w:r>
        <w:rPr>
          <w:rFonts w:asciiTheme="majorBidi" w:hAnsiTheme="majorBidi" w:cstheme="majorBidi"/>
          <w:i/>
          <w:iCs/>
          <w:sz w:val="28"/>
          <w:szCs w:val="28"/>
        </w:rPr>
        <w:t>Ricorrenze della Rottura</w:t>
      </w:r>
      <w:r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i/>
          <w:iCs/>
          <w:sz w:val="28"/>
          <w:szCs w:val="28"/>
        </w:rPr>
        <w:t>ʿĪd Al-Fiţr</w:t>
      </w:r>
      <w:r>
        <w:rPr>
          <w:rFonts w:asciiTheme="majorBidi" w:hAnsiTheme="majorBidi" w:cstheme="majorBidi"/>
          <w:sz w:val="28"/>
          <w:szCs w:val="28"/>
        </w:rPr>
        <w:t xml:space="preserve">) e del </w:t>
      </w:r>
      <w:r>
        <w:rPr>
          <w:rFonts w:asciiTheme="majorBidi" w:hAnsiTheme="majorBidi" w:cstheme="majorBidi"/>
          <w:i/>
          <w:iCs/>
          <w:sz w:val="28"/>
          <w:szCs w:val="28"/>
        </w:rPr>
        <w:t>Sacrificio</w:t>
      </w:r>
      <w:r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i/>
          <w:iCs/>
          <w:sz w:val="28"/>
          <w:szCs w:val="28"/>
        </w:rPr>
        <w:t>ʿĪd Al-ʾAḑĥā</w:t>
      </w:r>
      <w:r>
        <w:rPr>
          <w:rFonts w:asciiTheme="majorBidi" w:hAnsiTheme="majorBidi" w:cstheme="majorBidi"/>
          <w:sz w:val="28"/>
          <w:szCs w:val="28"/>
        </w:rPr>
        <w:t>) a famiglia e parenti, poiché si tratta di giorni di gioia e lietezza in occasione dei quali è desiderabile (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mustaĥabb</w:t>
      </w:r>
      <w:r>
        <w:rPr>
          <w:rFonts w:asciiTheme="majorBidi" w:hAnsiTheme="majorBidi" w:cstheme="majorBidi"/>
          <w:sz w:val="28"/>
          <w:szCs w:val="28"/>
        </w:rPr>
        <w:t xml:space="preserve">) la vivificazione dei legami, la benevolenza, e l’abbondanza nel mangiare e nel bere. E ciò non rientra nelle eresie, bensì è qualcosa di lecito e un buon costume, e rappresenta uno dei riti della </w:t>
      </w:r>
      <w:r>
        <w:rPr>
          <w:rFonts w:asciiTheme="majorBidi" w:hAnsiTheme="majorBidi" w:cstheme="majorBidi"/>
          <w:i/>
          <w:iCs/>
          <w:sz w:val="28"/>
          <w:szCs w:val="28"/>
        </w:rPr>
        <w:t>Ricorrenza</w:t>
      </w:r>
      <w:r>
        <w:rPr>
          <w:rFonts w:asciiTheme="majorBidi" w:hAnsiTheme="majorBidi" w:cstheme="majorBidi"/>
          <w:sz w:val="28"/>
          <w:szCs w:val="28"/>
        </w:rPr>
        <w:t>. Per questo non è permesso fare doni e manifestare gioia e lietezza nelle occasioni eretiche nelle quali non è prescritta la celebrazione quali il Capodanno, il giorno del natale profetico (</w:t>
      </w:r>
      <w:r>
        <w:rPr>
          <w:rFonts w:asciiTheme="majorBidi" w:hAnsiTheme="majorBidi" w:cstheme="majorBidi"/>
          <w:i/>
          <w:iCs/>
          <w:sz w:val="28"/>
          <w:szCs w:val="28"/>
        </w:rPr>
        <w:t>al-mawlid</w:t>
      </w:r>
      <w:r>
        <w:rPr>
          <w:rFonts w:asciiTheme="majorBidi" w:hAnsiTheme="majorBidi" w:cstheme="majorBidi"/>
          <w:sz w:val="28"/>
          <w:szCs w:val="28"/>
        </w:rPr>
        <w:t xml:space="preserve">) o di metà 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aʿbān</w:t>
      </w:r>
      <w:r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an-nişf min 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aʿbān</w:t>
      </w:r>
      <w:r>
        <w:rPr>
          <w:rFonts w:asciiTheme="majorBidi" w:hAnsiTheme="majorBidi" w:cstheme="majorBidi"/>
          <w:sz w:val="28"/>
          <w:szCs w:val="28"/>
        </w:rPr>
        <w:t>), poiché ciò le rende Ricorrenze.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A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- 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ay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kh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 Ibn ʿU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th</w:t>
      </w:r>
      <w:r>
        <w:rPr>
          <w:rFonts w:asciiTheme="majorBidi" w:hAnsiTheme="majorBidi" w:cstheme="majorBidi"/>
          <w:i/>
          <w:iCs/>
          <w:sz w:val="28"/>
          <w:szCs w:val="28"/>
        </w:rPr>
        <w:t>aymīn</w:t>
      </w:r>
      <w:r>
        <w:rPr>
          <w:rFonts w:asciiTheme="majorBidi" w:hAnsiTheme="majorBidi" w:cstheme="majorBidi"/>
          <w:sz w:val="28"/>
          <w:szCs w:val="28"/>
        </w:rPr>
        <w:t xml:space="preserve"> - </w:t>
      </w:r>
      <w:r>
        <w:rPr>
          <w:rFonts w:asciiTheme="majorBidi" w:hAnsiTheme="majorBidi" w:cstheme="majorBidi"/>
        </w:rPr>
        <w:t>che Iddio abbia misericordia di lui</w:t>
      </w:r>
      <w:r>
        <w:rPr>
          <w:rFonts w:asciiTheme="majorBidi" w:hAnsiTheme="majorBidi" w:cstheme="majorBidi"/>
          <w:sz w:val="28"/>
          <w:szCs w:val="28"/>
        </w:rPr>
        <w:t xml:space="preserve"> - ha detto: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“In questa Ricorrenza inoltre, la gente si scambia doni, prepara poi pietanze e si invita reciprocamente, si riunisce e si rallegra. Non c’è nulla di male in questa usanza, poiché si tratta dei giorni della Ricorrenza, tanto che Abu Bakr - </w:t>
      </w:r>
      <w:r>
        <w:rPr>
          <w:rFonts w:asciiTheme="majorBidi" w:hAnsiTheme="majorBidi" w:cstheme="majorBidi"/>
          <w:i/>
          <w:iCs/>
        </w:rPr>
        <w:t>che Iddio Si compiaccia di lui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 – quanto entrò in casa del Messaggero di Iddio </w:t>
      </w:r>
      <w:r>
        <w:rPr>
          <w:rFonts w:ascii="Arial Unicode MS" w:hAnsi="Arial Unicode MS" w:cs="Arial Unicode MS" w:hint="eastAsia"/>
          <w:i/>
          <w:iCs/>
          <w:sz w:val="24"/>
          <w:szCs w:val="24"/>
          <w:rtl/>
        </w:rPr>
        <w:t>ﷺ</w:t>
      </w:r>
      <w:r>
        <w:rPr>
          <w:rFonts w:asciiTheme="majorBidi" w:hAnsiTheme="majorBidi" w:cs="Sakkal Majalla"/>
          <w:i/>
          <w:iCs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e trovò presso di lui due ragazzine che stavano cantando nei giorni della Ricorrenza, le rimproverò, ma il Profeta </w:t>
      </w:r>
      <w:r>
        <w:rPr>
          <w:rFonts w:ascii="Arial Unicode MS" w:hAnsi="Arial Unicode MS" w:cs="Arial Unicode MS" w:hint="eastAsia"/>
          <w:i/>
          <w:iCs/>
          <w:sz w:val="24"/>
          <w:szCs w:val="24"/>
          <w:rtl/>
        </w:rPr>
        <w:t>ﷺ</w:t>
      </w:r>
      <w:r>
        <w:rPr>
          <w:rFonts w:asciiTheme="majorBidi" w:hAnsiTheme="majorBidi" w:cs="Sakkal Majalla"/>
          <w:i/>
          <w:i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>disse: «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Lasciale</w:t>
      </w:r>
      <w:r>
        <w:rPr>
          <w:rFonts w:asciiTheme="majorBidi" w:hAnsiTheme="majorBidi" w:cstheme="majorBidi"/>
          <w:i/>
          <w:iCs/>
          <w:sz w:val="28"/>
          <w:szCs w:val="28"/>
        </w:rPr>
        <w:t>». E non lo disse perché erano ragazzine, bensì disse: «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Lasciale, ché sono i giorni della Ricorrenza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». E in ciò v’è prova che l’Islam, lode a Iddio, tra </w:t>
      </w:r>
      <w:r>
        <w:rPr>
          <w:rFonts w:asciiTheme="majorBidi" w:hAnsiTheme="majorBidi" w:cstheme="majorBidi"/>
          <w:i/>
          <w:iCs/>
          <w:sz w:val="28"/>
          <w:szCs w:val="28"/>
        </w:rPr>
        <w:lastRenderedPageBreak/>
        <w:t>la semplicità e facilità che prevede per i servi, permette a loro di esprimere gioia e lietezza nei giorni della Ricorrenza”.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[Fine citazione da 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Majmūʿ Fatāwā</w:t>
      </w:r>
      <w:r>
        <w:rPr>
          <w:rFonts w:asciiTheme="majorBidi" w:hAnsiTheme="majorBidi" w:cstheme="majorBidi"/>
          <w:i/>
          <w:iCs/>
        </w:rPr>
        <w:t xml:space="preserve"> A</w:t>
      </w:r>
      <w:r>
        <w:rPr>
          <w:rFonts w:asciiTheme="majorBidi" w:hAnsiTheme="majorBidi" w:cstheme="majorBidi"/>
          <w:i/>
          <w:iCs/>
          <w:u w:val="single"/>
        </w:rPr>
        <w:t>sh</w:t>
      </w:r>
      <w:r>
        <w:rPr>
          <w:rFonts w:asciiTheme="majorBidi" w:hAnsiTheme="majorBidi" w:cstheme="majorBidi"/>
          <w:i/>
          <w:iCs/>
        </w:rPr>
        <w:t>-</w:t>
      </w:r>
      <w:r>
        <w:rPr>
          <w:rFonts w:asciiTheme="majorBidi" w:hAnsiTheme="majorBidi" w:cstheme="majorBidi"/>
          <w:i/>
          <w:iCs/>
          <w:u w:val="single"/>
        </w:rPr>
        <w:t>Sh</w:t>
      </w:r>
      <w:r>
        <w:rPr>
          <w:rFonts w:asciiTheme="majorBidi" w:hAnsiTheme="majorBidi" w:cstheme="majorBidi"/>
          <w:i/>
          <w:iCs/>
        </w:rPr>
        <w:t>ay</w:t>
      </w:r>
      <w:r>
        <w:rPr>
          <w:rFonts w:asciiTheme="majorBidi" w:hAnsiTheme="majorBidi" w:cstheme="majorBidi"/>
          <w:i/>
          <w:iCs/>
          <w:u w:val="single"/>
        </w:rPr>
        <w:t>kh</w:t>
      </w:r>
      <w:r>
        <w:rPr>
          <w:rFonts w:asciiTheme="majorBidi" w:hAnsiTheme="majorBidi" w:cstheme="majorBidi"/>
          <w:i/>
          <w:iCs/>
        </w:rPr>
        <w:t xml:space="preserve"> Ibn ʿU</w:t>
      </w:r>
      <w:r>
        <w:rPr>
          <w:rFonts w:asciiTheme="majorBidi" w:hAnsiTheme="majorBidi" w:cstheme="majorBidi"/>
          <w:i/>
          <w:iCs/>
          <w:u w:val="single"/>
        </w:rPr>
        <w:t>th</w:t>
      </w:r>
      <w:r>
        <w:rPr>
          <w:rFonts w:asciiTheme="majorBidi" w:hAnsiTheme="majorBidi" w:cstheme="majorBidi"/>
          <w:i/>
          <w:iCs/>
        </w:rPr>
        <w:t xml:space="preserve">aymīn </w:t>
      </w:r>
      <w:r>
        <w:rPr>
          <w:rFonts w:asciiTheme="majorBidi" w:hAnsiTheme="majorBidi" w:cstheme="majorBidi"/>
        </w:rPr>
        <w:t xml:space="preserve"> (16/276)]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Disse inoltre, che Iddio ne abbia misericordia: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 xml:space="preserve">“E tra ciò che è risaputo, è che che non esistono festività nell’Ordinamento Islamico </w:t>
      </w:r>
      <w:r>
        <w:rPr>
          <w:rFonts w:asciiTheme="majorBidi" w:hAnsiTheme="majorBidi" w:cstheme="majorBidi"/>
          <w:i/>
          <w:iCs/>
          <w:sz w:val="28"/>
          <w:szCs w:val="28"/>
        </w:rPr>
        <w:br/>
        <w:t>(A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-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ar</w:t>
      </w:r>
      <w:r>
        <w:rPr>
          <w:rFonts w:asciiTheme="majorBidi" w:eastAsia="Times New Roman" w:hAnsiTheme="majorBidi" w:cstheme="majorBidi"/>
          <w:i/>
          <w:iCs/>
          <w:sz w:val="28"/>
          <w:szCs w:val="28"/>
          <w:lang w:eastAsia="zh-CN" w:bidi="ar-SY"/>
        </w:rPr>
        <w:t>ī</w:t>
      </w:r>
      <w:r>
        <w:rPr>
          <w:rFonts w:asciiTheme="majorBidi" w:hAnsiTheme="majorBidi" w:cstheme="majorBidi"/>
          <w:i/>
          <w:iCs/>
          <w:sz w:val="28"/>
          <w:szCs w:val="28"/>
        </w:rPr>
        <w:t>ʿah Al-ʾIsl</w:t>
      </w:r>
      <w:r>
        <w:rPr>
          <w:rFonts w:asciiTheme="majorBidi" w:eastAsia="Times New Roman" w:hAnsiTheme="majorBidi" w:cstheme="majorBidi"/>
          <w:i/>
          <w:iCs/>
          <w:sz w:val="28"/>
          <w:szCs w:val="28"/>
          <w:lang w:eastAsia="zh-CN" w:bidi="ar-SY"/>
        </w:rPr>
        <w:t>ā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miyyah) se non ciò che sia comprovato dalla 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ar</w:t>
      </w:r>
      <w:r>
        <w:rPr>
          <w:rFonts w:asciiTheme="majorBidi" w:eastAsia="Times New Roman" w:hAnsiTheme="majorBidi" w:cstheme="majorBidi"/>
          <w:i/>
          <w:iCs/>
          <w:sz w:val="28"/>
          <w:szCs w:val="28"/>
          <w:lang w:eastAsia="zh-CN" w:bidi="ar-SY"/>
        </w:rPr>
        <w:t>ī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ʿah, come la </w:t>
      </w:r>
      <w:r>
        <w:rPr>
          <w:rFonts w:asciiTheme="majorBidi" w:eastAsia="Times New Roman" w:hAnsiTheme="majorBidi" w:cstheme="majorBidi"/>
          <w:i/>
          <w:iCs/>
          <w:sz w:val="28"/>
          <w:szCs w:val="28"/>
          <w:lang w:eastAsia="zh-CN" w:bidi="ar-SY"/>
        </w:rPr>
        <w:t>Ricorrenza del Sacrificio (ʿĪd Al-ʾAḑĥā) e alla Ricorrenza della Rottura (ʿĪd Al-Fiţr), e così il giorno del Venerdì, che è ricorrenza per la settimana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. Riguardo invece la metà di 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aʿbān, non è comprovato nell’Ordinamento Islamico che sia una Ricorrenza. Quindi se lo si eleva a occorrenza nella quale si elargisce elemosina o si offrono doni ai vicini, ciò equivale a renderlo una Ricorrenza”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>[Fine citazione da</w:t>
      </w:r>
      <w:r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Fatāwā</w:t>
      </w:r>
      <w:r>
        <w:rPr>
          <w:rFonts w:asciiTheme="majorBidi" w:hAnsiTheme="majorBidi" w:cstheme="majorBidi"/>
          <w:i/>
          <w:iCs/>
        </w:rPr>
        <w:t xml:space="preserve"> N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ū</w:t>
      </w:r>
      <w:r>
        <w:rPr>
          <w:rFonts w:asciiTheme="majorBidi" w:hAnsiTheme="majorBidi" w:cstheme="majorBidi"/>
          <w:i/>
          <w:iCs/>
        </w:rPr>
        <w:t>r ʿal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ā</w:t>
      </w:r>
      <w:r>
        <w:rPr>
          <w:rFonts w:asciiTheme="majorBidi" w:hAnsiTheme="majorBidi" w:cstheme="majorBidi"/>
          <w:i/>
          <w:iCs/>
        </w:rPr>
        <w:t xml:space="preserve"> Ad-Darb</w:t>
      </w:r>
      <w:r>
        <w:rPr>
          <w:rFonts w:asciiTheme="majorBidi" w:hAnsiTheme="majorBidi" w:cstheme="majorBidi"/>
        </w:rPr>
        <w:t>]</w:t>
      </w:r>
      <w:r>
        <w:rPr>
          <w:rFonts w:asciiTheme="majorBidi" w:eastAsia="Verdana" w:hAnsiTheme="majorBidi" w:cstheme="majorBidi"/>
          <w:lang w:eastAsia="zh-CN" w:bidi="ar-SY"/>
        </w:rPr>
        <w:tab/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 disse a riguardo della </w:t>
      </w:r>
      <w:r>
        <w:rPr>
          <w:rFonts w:asciiTheme="majorBidi" w:hAnsiTheme="majorBidi" w:cstheme="majorBidi"/>
          <w:i/>
          <w:iCs/>
          <w:sz w:val="28"/>
          <w:szCs w:val="28"/>
        </w:rPr>
        <w:t>Festa della Mamma</w:t>
      </w:r>
      <w:r>
        <w:rPr>
          <w:rFonts w:asciiTheme="majorBidi" w:hAnsiTheme="majorBidi" w:cstheme="majorBidi"/>
          <w:sz w:val="28"/>
          <w:szCs w:val="28"/>
        </w:rPr>
        <w:t>: “</w:t>
      </w:r>
      <w:r>
        <w:rPr>
          <w:rFonts w:asciiTheme="majorBidi" w:hAnsiTheme="majorBidi" w:cstheme="majorBidi"/>
          <w:i/>
          <w:iCs/>
          <w:sz w:val="28"/>
          <w:szCs w:val="28"/>
        </w:rPr>
        <w:t>E se ciò è chiaro, allora non è lecito, nella ricorrenza menzionata nella domanda, chiamata Festa della Mamma, introdurre alcuno dei riti della Ricorrenza, per esempio manifestare gioia e lietezza, offrire i doni, e ciò che è simile</w:t>
      </w:r>
      <w:r>
        <w:rPr>
          <w:rFonts w:asciiTheme="majorBidi" w:hAnsiTheme="majorBidi" w:cstheme="majorBidi"/>
          <w:sz w:val="28"/>
          <w:szCs w:val="28"/>
        </w:rPr>
        <w:t>”.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[Fine citazione da 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 xml:space="preserve">Majmūʿ Fatāwā </w:t>
      </w:r>
      <w:r>
        <w:rPr>
          <w:rFonts w:asciiTheme="majorBidi" w:hAnsiTheme="majorBidi" w:cstheme="majorBidi"/>
          <w:i/>
          <w:iCs/>
        </w:rPr>
        <w:t>A</w:t>
      </w:r>
      <w:r>
        <w:rPr>
          <w:rFonts w:asciiTheme="majorBidi" w:hAnsiTheme="majorBidi" w:cstheme="majorBidi"/>
          <w:i/>
          <w:iCs/>
          <w:u w:val="single"/>
        </w:rPr>
        <w:t>sh</w:t>
      </w:r>
      <w:r>
        <w:rPr>
          <w:rFonts w:asciiTheme="majorBidi" w:hAnsiTheme="majorBidi" w:cstheme="majorBidi"/>
          <w:i/>
          <w:iCs/>
        </w:rPr>
        <w:t>-</w:t>
      </w:r>
      <w:r>
        <w:rPr>
          <w:rFonts w:asciiTheme="majorBidi" w:hAnsiTheme="majorBidi" w:cstheme="majorBidi"/>
          <w:i/>
          <w:iCs/>
          <w:u w:val="single"/>
        </w:rPr>
        <w:t>Sh</w:t>
      </w:r>
      <w:r>
        <w:rPr>
          <w:rFonts w:asciiTheme="majorBidi" w:hAnsiTheme="majorBidi" w:cstheme="majorBidi"/>
          <w:i/>
          <w:iCs/>
        </w:rPr>
        <w:t>ay</w:t>
      </w:r>
      <w:r>
        <w:rPr>
          <w:rFonts w:asciiTheme="majorBidi" w:hAnsiTheme="majorBidi" w:cstheme="majorBidi"/>
          <w:i/>
          <w:iCs/>
          <w:u w:val="single"/>
        </w:rPr>
        <w:t>kh</w:t>
      </w:r>
      <w:r>
        <w:rPr>
          <w:rFonts w:asciiTheme="majorBidi" w:hAnsiTheme="majorBidi" w:cstheme="majorBidi"/>
          <w:i/>
          <w:iCs/>
        </w:rPr>
        <w:t xml:space="preserve"> Ibn ʿU</w:t>
      </w:r>
      <w:r>
        <w:rPr>
          <w:rFonts w:asciiTheme="majorBidi" w:hAnsiTheme="majorBidi" w:cstheme="majorBidi"/>
          <w:i/>
          <w:iCs/>
          <w:u w:val="single"/>
        </w:rPr>
        <w:t>th</w:t>
      </w:r>
      <w:r>
        <w:rPr>
          <w:rFonts w:asciiTheme="majorBidi" w:hAnsiTheme="majorBidi" w:cstheme="majorBidi"/>
          <w:i/>
          <w:iCs/>
        </w:rPr>
        <w:t xml:space="preserve">aymīn </w:t>
      </w:r>
      <w:r>
        <w:rPr>
          <w:rFonts w:asciiTheme="majorBidi" w:hAnsiTheme="majorBidi" w:cstheme="majorBidi"/>
        </w:rPr>
        <w:t xml:space="preserve"> (2/301)]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 Iddio è più Sapiente.</w:t>
      </w:r>
    </w:p>
    <w:p w:rsidR="005163B8" w:rsidRDefault="005163B8" w:rsidP="005163B8">
      <w:pPr>
        <w:bidi w:val="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5666DC" w:rsidRPr="00665E3F" w:rsidRDefault="005666DC" w:rsidP="002D325A">
      <w:pPr>
        <w:bidi w:val="0"/>
        <w:spacing w:line="240" w:lineRule="auto"/>
        <w:jc w:val="both"/>
        <w:rPr>
          <w:rFonts w:cstheme="minorHAnsi"/>
          <w:lang w:val="it-IT"/>
        </w:rPr>
      </w:pPr>
    </w:p>
    <w:sectPr w:rsidR="005666DC" w:rsidRPr="00665E3F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5AC" w:rsidRDefault="006175AC" w:rsidP="00E32771">
      <w:pPr>
        <w:spacing w:after="0" w:line="240" w:lineRule="auto"/>
      </w:pPr>
      <w:r>
        <w:separator/>
      </w:r>
    </w:p>
  </w:endnote>
  <w:endnote w:type="continuationSeparator" w:id="0">
    <w:p w:rsidR="006175AC" w:rsidRDefault="006175A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AB725CF-C137-4F72-9CAC-64166EC9D200}"/>
    <w:embedBold r:id="rId2" w:fontKey="{0EC6AD9E-AED0-4CB5-B532-0059001045C8}"/>
    <w:embedItalic r:id="rId3" w:fontKey="{FC537D7C-43D7-4028-8632-CEABC120E89B}"/>
    <w:embedBoldItalic r:id="rId4" w:fontKey="{8A805B5A-AB90-4B7A-AA37-6ABC53400FD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BC7D65F9-1C4E-4B1B-9947-AE6EA8B06414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6" w:fontKey="{D5FC665B-D8C4-4E9F-A31B-641A7F0779A4}"/>
    <w:embedBold r:id="rId7" w:fontKey="{442D4FE1-6E58-43BA-B95E-31FDC62AF1DE}"/>
    <w:embedItalic r:id="rId8" w:fontKey="{14E05724-B45A-4D60-94EC-AD8F73F4ED26}"/>
    <w:embedBoldItalic r:id="rId9" w:fontKey="{3BE13DBF-4231-4C64-803D-677ABD2033C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312F2312-10A8-43C4-A377-827B513D4FC2}"/>
    <w:embedItalic r:id="rId11" w:fontKey="{18B4DE2D-8F15-42F4-8305-BADAE22EAFEB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3BD46322-6DD6-47E0-83D3-6FCAF5C021A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C316308D-7F3E-49E2-A6AC-2B0D1C1048F2}"/>
    <w:embedBold r:id="rId14" w:fontKey="{C6B0BD73-61BB-46C4-B787-95BED1C00D0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243C7C4B-3878-494B-82C8-9890DE08AE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Italic r:id="rId16" w:subsetted="1" w:fontKey="{9F2F423E-68C4-4EF1-8D25-2DA9CE31C31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ECCE5378-132E-4706-9F18-DEC9C2F3745A}"/>
    <w:embedBold r:id="rId18" w:fontKey="{22E52F03-9B05-40AC-840C-479EAFAA566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11E4575C-AD50-4CFF-82C0-CAF7B557C54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AAEA2A00-AB92-4204-9FA6-119EAC185EBA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1" w:fontKey="{76AF87A7-CC53-490E-A8C1-8624D74B7D8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F26AFD42-F5D8-4DEA-9B3A-556867E3E4FA}"/>
    <w:embedBold r:id="rId23" w:fontKey="{95BD167B-DE3A-41D4-885A-202D981B63EC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Italic r:id="rId24" w:fontKey="{4A72E55E-C62A-4091-B23B-ACD03847F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CD4D7C">
          <w:rPr>
            <w:noProof/>
            <w:sz w:val="28"/>
            <w:szCs w:val="28"/>
            <w:rtl/>
          </w:rPr>
          <w:t>2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5AC" w:rsidRDefault="006175AC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6175AC" w:rsidRDefault="006175AC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6175AC" w:rsidRDefault="006175AC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A53B5"/>
    <w:rsid w:val="000A6307"/>
    <w:rsid w:val="000A6BE0"/>
    <w:rsid w:val="000B52A7"/>
    <w:rsid w:val="000C2B16"/>
    <w:rsid w:val="000D5816"/>
    <w:rsid w:val="001670C3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2D325A"/>
    <w:rsid w:val="003072B2"/>
    <w:rsid w:val="00317B3C"/>
    <w:rsid w:val="003238D3"/>
    <w:rsid w:val="00347608"/>
    <w:rsid w:val="00357B1F"/>
    <w:rsid w:val="00372A0D"/>
    <w:rsid w:val="003906F7"/>
    <w:rsid w:val="003A3CDC"/>
    <w:rsid w:val="003E1AC6"/>
    <w:rsid w:val="00405A8C"/>
    <w:rsid w:val="00447B55"/>
    <w:rsid w:val="004C1156"/>
    <w:rsid w:val="004C2827"/>
    <w:rsid w:val="004C2F52"/>
    <w:rsid w:val="004E2AD6"/>
    <w:rsid w:val="004E38A0"/>
    <w:rsid w:val="004E78EF"/>
    <w:rsid w:val="005068FD"/>
    <w:rsid w:val="005163B8"/>
    <w:rsid w:val="00542FDA"/>
    <w:rsid w:val="00556722"/>
    <w:rsid w:val="005666DC"/>
    <w:rsid w:val="00575281"/>
    <w:rsid w:val="0058544F"/>
    <w:rsid w:val="005A2707"/>
    <w:rsid w:val="0060157E"/>
    <w:rsid w:val="006160D6"/>
    <w:rsid w:val="006175AC"/>
    <w:rsid w:val="00626D06"/>
    <w:rsid w:val="006474DC"/>
    <w:rsid w:val="00662A2B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6729A"/>
    <w:rsid w:val="0077162A"/>
    <w:rsid w:val="00775C1D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2804"/>
    <w:rsid w:val="00944C90"/>
    <w:rsid w:val="009967F9"/>
    <w:rsid w:val="00A021C5"/>
    <w:rsid w:val="00A052E1"/>
    <w:rsid w:val="00A0781B"/>
    <w:rsid w:val="00A26C77"/>
    <w:rsid w:val="00A507EE"/>
    <w:rsid w:val="00A61E5C"/>
    <w:rsid w:val="00A9161B"/>
    <w:rsid w:val="00AA7E77"/>
    <w:rsid w:val="00B04BE4"/>
    <w:rsid w:val="00B21534"/>
    <w:rsid w:val="00B3510F"/>
    <w:rsid w:val="00B41441"/>
    <w:rsid w:val="00B50A3A"/>
    <w:rsid w:val="00B71399"/>
    <w:rsid w:val="00B820AA"/>
    <w:rsid w:val="00BA456F"/>
    <w:rsid w:val="00BD190F"/>
    <w:rsid w:val="00BE5547"/>
    <w:rsid w:val="00BF04A9"/>
    <w:rsid w:val="00C03201"/>
    <w:rsid w:val="00C10E38"/>
    <w:rsid w:val="00C31855"/>
    <w:rsid w:val="00C37C22"/>
    <w:rsid w:val="00C408EE"/>
    <w:rsid w:val="00C72BD4"/>
    <w:rsid w:val="00CA5FDC"/>
    <w:rsid w:val="00CD4735"/>
    <w:rsid w:val="00CD4D7C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C6A8E"/>
    <w:rsid w:val="00DE5862"/>
    <w:rsid w:val="00E25D4B"/>
    <w:rsid w:val="00E32771"/>
    <w:rsid w:val="00E3745F"/>
    <w:rsid w:val="00E5682B"/>
    <w:rsid w:val="00E60D07"/>
    <w:rsid w:val="00E710AA"/>
    <w:rsid w:val="00EB6A67"/>
    <w:rsid w:val="00EC17E0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C6A617-D7C3-4B07-8099-1AE5929E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link w:val="Heading4Char"/>
    <w:uiPriority w:val="9"/>
    <w:qFormat/>
    <w:rsid w:val="00BE554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uiPriority w:val="99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  <w:style w:type="character" w:customStyle="1" w:styleId="Heading4Char">
    <w:name w:val="Heading 4 Char"/>
    <w:basedOn w:val="DefaultParagraphFont"/>
    <w:link w:val="Heading4"/>
    <w:uiPriority w:val="9"/>
    <w:rsid w:val="00BE55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394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66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880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10563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59ABC-3FF6-4F3D-8AD7-B07A180A6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518</Words>
  <Characters>2675</Characters>
  <Application>Microsoft Office Word</Application>
  <DocSecurity>0</DocSecurity>
  <Lines>86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3169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FARE DONI PER LA RICORRENZA (ʿĪD) RAPPRESENTA ERESIA (BIDʿAH)?</dc:title>
  <dc:subject>FARE DONI PER LA RICORRENZA (ʿĪD) RAPPRESENTA ERESIA (BIDʿAH)?</dc:subject>
  <dc:creator>Islām Q&amp;A</dc:creator>
  <cp:keywords>FARE DONI PER LA RICORRENZA (ʿĪD) RAPPRESENTA ERESIA (BIDʿAH)?</cp:keywords>
  <dc:description>FARE DONI PER LA RICORRENZA (ʿĪD) RAPPRESENTA ERESIA (BIDʿAH)?</dc:description>
  <cp:lastModifiedBy>elhashemy</cp:lastModifiedBy>
  <cp:revision>23</cp:revision>
  <cp:lastPrinted>2015-01-13T04:52:00Z</cp:lastPrinted>
  <dcterms:created xsi:type="dcterms:W3CDTF">2017-04-01T07:07:00Z</dcterms:created>
  <dcterms:modified xsi:type="dcterms:W3CDTF">2017-11-23T14:34:00Z</dcterms:modified>
  <cp:category/>
</cp:coreProperties>
</file>