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FC1B23" w:rsidRDefault="00E0530C" w:rsidP="00E0530C">
      <w:pPr>
        <w:spacing w:line="240" w:lineRule="auto"/>
        <w:jc w:val="center"/>
        <w:rPr>
          <w:rFonts w:asciiTheme="majorBidi" w:eastAsia="Verdana" w:hAnsiTheme="majorBidi" w:cstheme="majorBidi"/>
          <w:sz w:val="32"/>
          <w:szCs w:val="32"/>
          <w:rtl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posOffset>481330</wp:posOffset>
            </wp:positionH>
            <wp:positionV relativeFrom="paragraph">
              <wp:posOffset>792480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24F">
        <w:rPr>
          <w:rFonts w:asciiTheme="majorBidi" w:eastAsia="Verdana" w:hAnsiTheme="majorBidi" w:cstheme="majorBidi"/>
          <w:sz w:val="32"/>
          <w:szCs w:val="32"/>
          <w:lang w:val="it-IT" w:eastAsia="zh-CN" w:bidi="ar-SY"/>
        </w:rPr>
        <w:t xml:space="preserve">FARE L’ELEMOSINA A UNA PERSONA PREGANDOVI ASSIEME DOPO L’ALBA </w:t>
      </w:r>
    </w:p>
    <w:p w:rsidR="00E0530C" w:rsidRPr="006D524F" w:rsidRDefault="00E0530C" w:rsidP="00E0530C">
      <w:pPr>
        <w:spacing w:line="240" w:lineRule="auto"/>
        <w:jc w:val="center"/>
        <w:rPr>
          <w:rFonts w:asciiTheme="majorBidi" w:eastAsia="Verdana" w:hAnsiTheme="majorBidi" w:cstheme="majorBidi"/>
          <w:sz w:val="32"/>
          <w:szCs w:val="32"/>
          <w:lang w:val="it-IT" w:eastAsia="zh-CN" w:bidi="ar-SY"/>
        </w:rPr>
      </w:pPr>
      <w:r w:rsidRPr="006D524F">
        <w:rPr>
          <w:rFonts w:asciiTheme="majorBidi" w:eastAsia="Verdana" w:hAnsiTheme="majorBidi" w:cstheme="majorBidi"/>
          <w:sz w:val="32"/>
          <w:szCs w:val="32"/>
          <w:lang w:val="it-IT" w:eastAsia="zh-CN" w:bidi="ar-SY"/>
        </w:rPr>
        <w:t>(AL-FAJR)</w:t>
      </w:r>
    </w:p>
    <w:p w:rsidR="00244087" w:rsidRPr="006D524F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</w:p>
    <w:p w:rsidR="00FD1E49" w:rsidRPr="006D524F" w:rsidRDefault="00FD1E49" w:rsidP="006D524F">
      <w:pPr>
        <w:tabs>
          <w:tab w:val="left" w:pos="753"/>
          <w:tab w:val="center" w:pos="3118"/>
        </w:tabs>
        <w:bidi w:val="0"/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6D524F" w:rsidRDefault="006D524F" w:rsidP="006D524F">
      <w:pPr>
        <w:bidi w:val="0"/>
        <w:spacing w:line="240" w:lineRule="auto"/>
        <w:jc w:val="center"/>
        <w:rPr>
          <w:rFonts w:asciiTheme="majorBidi" w:eastAsia="Verdana" w:hAnsiTheme="majorBidi" w:cstheme="majorBidi"/>
          <w:i/>
          <w:iCs/>
          <w:sz w:val="28"/>
          <w:szCs w:val="28"/>
          <w:rtl/>
          <w:lang w:val="it-IT" w:eastAsia="zh-CN" w:bidi="ar-SY"/>
        </w:rPr>
      </w:pPr>
    </w:p>
    <w:p w:rsidR="006D524F" w:rsidRDefault="006D524F" w:rsidP="006D524F">
      <w:pPr>
        <w:bidi w:val="0"/>
        <w:spacing w:line="240" w:lineRule="auto"/>
        <w:jc w:val="center"/>
        <w:rPr>
          <w:rFonts w:asciiTheme="majorBidi" w:eastAsia="Verdana" w:hAnsiTheme="majorBidi" w:cstheme="majorBidi"/>
          <w:i/>
          <w:iCs/>
          <w:sz w:val="28"/>
          <w:szCs w:val="28"/>
          <w:rtl/>
          <w:lang w:val="it-IT" w:eastAsia="zh-CN" w:bidi="ar-SY"/>
        </w:rPr>
      </w:pPr>
    </w:p>
    <w:p w:rsidR="00244087" w:rsidRPr="006D524F" w:rsidRDefault="006D524F" w:rsidP="006D524F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6D524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</w:t>
      </w:r>
      <w:r w:rsidRPr="006D524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6D524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6D524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6D524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6D524F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6D524F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Muĥammad Şāliĥ </w:t>
      </w:r>
      <w:r w:rsidR="00E0530C" w:rsidRPr="006D524F">
        <w:rPr>
          <w:rFonts w:asciiTheme="majorBidi" w:hAnsiTheme="majorBidi" w:cstheme="majorBidi"/>
          <w:i/>
          <w:iCs/>
          <w:sz w:val="28"/>
          <w:szCs w:val="28"/>
          <w:lang w:val="it-IT"/>
        </w:rPr>
        <w:t>Ibn ‘U</w:t>
      </w:r>
      <w:r w:rsidR="00E0530C" w:rsidRPr="006D524F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th</w:t>
      </w:r>
      <w:r w:rsidR="00E0530C" w:rsidRPr="006D524F">
        <w:rPr>
          <w:rFonts w:asciiTheme="majorBidi" w:hAnsiTheme="majorBidi" w:cstheme="majorBidi"/>
          <w:i/>
          <w:iCs/>
          <w:sz w:val="28"/>
          <w:szCs w:val="28"/>
          <w:lang w:val="it-IT"/>
        </w:rPr>
        <w:t>aymīn</w:t>
      </w:r>
    </w:p>
    <w:p w:rsidR="00FD1E49" w:rsidRPr="006D524F" w:rsidRDefault="00FD1E49" w:rsidP="006D524F">
      <w:pPr>
        <w:bidi w:val="0"/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val="it-IT" w:bidi="ar-EG"/>
        </w:rPr>
      </w:pPr>
    </w:p>
    <w:p w:rsidR="00FD1E49" w:rsidRPr="006D524F" w:rsidRDefault="00FD1E49" w:rsidP="006D524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524F" w:rsidRDefault="00FD1E49" w:rsidP="006D524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6D524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571F30" w:rsidP="003E2A42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161D0F">
        <w:rPr>
          <w:rFonts w:asciiTheme="majorHAnsi" w:hAnsiTheme="majorHAnsi" w:cstheme="majorHAnsi"/>
          <w:sz w:val="32"/>
          <w:szCs w:val="32"/>
          <w:lang w:bidi="ar-EG"/>
        </w:rPr>
        <w:t>Traduzione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3E2A42" w:rsidRPr="003E2A42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F8398D" w:rsidP="003E2A42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3E2A42" w:rsidRPr="003E2A42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D26A1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E0530C" w:rsidRDefault="00E0530C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</w:rPr>
        <w:t>التصدق علي شخص بالصلاة معه بعد الفجر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FD1E49" w:rsidRPr="006D26A1" w:rsidRDefault="008A58B6" w:rsidP="00FD1E49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 w:rsidR="00E0530C">
        <w:rPr>
          <w:rFonts w:asciiTheme="majorHAnsi" w:hAnsiTheme="majorHAnsi" w:cs="KFGQPC Uthman Taha Naskh"/>
          <w:sz w:val="40"/>
          <w:szCs w:val="40"/>
          <w:rtl/>
          <w:lang w:bidi="ar-EG"/>
        </w:rPr>
        <w:t>الشيخ محمد بن صالح العثيمين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B968DD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B968DD" w:rsidRPr="00B968DD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ماريا</w:t>
      </w:r>
      <w:r w:rsidR="00B968DD" w:rsidRPr="00B968DD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B968DD" w:rsidRPr="00B968DD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براليولا</w:t>
      </w:r>
    </w:p>
    <w:p w:rsidR="00FD1E49" w:rsidRPr="006D26A1" w:rsidRDefault="00FD1E49" w:rsidP="00B968DD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B968DD" w:rsidRPr="00B968DD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</w:t>
      </w:r>
      <w:r w:rsidR="00B968DD" w:rsidRPr="00B968DD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B968DD" w:rsidRPr="00B968DD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محمد</w:t>
      </w:r>
      <w:r w:rsidR="00B968DD" w:rsidRPr="00B968DD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B968DD" w:rsidRPr="00B968DD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عبد</w:t>
      </w:r>
      <w:r w:rsidR="00B968DD" w:rsidRPr="00B968DD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B968DD" w:rsidRPr="00B968DD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المجيد</w:t>
      </w:r>
      <w:r w:rsidR="00B968DD" w:rsidRPr="00B968DD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B968DD" w:rsidRPr="00B968DD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-311150</wp:posOffset>
            </wp:positionH>
            <wp:positionV relativeFrom="paragraph">
              <wp:posOffset>288290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FD1E49" w:rsidRPr="00DA5D93" w:rsidRDefault="00FD1E49" w:rsidP="00CA5FDC">
      <w:pPr>
        <w:jc w:val="right"/>
      </w:pPr>
    </w:p>
    <w:p w:rsidR="00C536E8" w:rsidRPr="00FD176B" w:rsidRDefault="00C536E8" w:rsidP="00B968DD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w w:val="90"/>
          <w:sz w:val="28"/>
          <w:szCs w:val="28"/>
          <w:lang w:val="it-IT" w:eastAsia="zh-CN" w:bidi="ar-SY"/>
        </w:rPr>
      </w:pPr>
      <w:bookmarkStart w:id="3" w:name="_Hlk481656827"/>
      <w:r w:rsidRPr="00FD176B">
        <w:rPr>
          <w:rFonts w:asciiTheme="majorBidi" w:eastAsia="Verdana" w:hAnsiTheme="majorBidi" w:cstheme="majorBidi"/>
          <w:color w:val="800000"/>
          <w:w w:val="90"/>
          <w:sz w:val="28"/>
          <w:szCs w:val="28"/>
          <w:lang w:val="it-IT" w:eastAsia="zh-CN" w:bidi="ar-SY"/>
        </w:rPr>
        <w:lastRenderedPageBreak/>
        <w:t>FARE L’ELEMOSINA A UNA PERSONA</w:t>
      </w:r>
      <w:r w:rsidR="00B968DD" w:rsidRPr="00FD176B">
        <w:rPr>
          <w:rFonts w:asciiTheme="majorBidi" w:eastAsia="Verdana" w:hAnsiTheme="majorBidi" w:cstheme="majorBidi" w:hint="cs"/>
          <w:color w:val="800000"/>
          <w:w w:val="90"/>
          <w:sz w:val="28"/>
          <w:szCs w:val="28"/>
          <w:rtl/>
          <w:lang w:val="it-IT" w:eastAsia="zh-CN" w:bidi="ar-SY"/>
        </w:rPr>
        <w:t xml:space="preserve"> </w:t>
      </w:r>
      <w:r w:rsidRPr="00FD176B">
        <w:rPr>
          <w:rFonts w:asciiTheme="majorBidi" w:eastAsia="Verdana" w:hAnsiTheme="majorBidi" w:cstheme="majorBidi"/>
          <w:color w:val="800000"/>
          <w:w w:val="90"/>
          <w:sz w:val="28"/>
          <w:szCs w:val="28"/>
          <w:lang w:val="it-IT" w:eastAsia="zh-CN" w:bidi="ar-SY"/>
        </w:rPr>
        <w:t>PREGANDOVI ASSIEME DOPO L’ALBA (</w:t>
      </w:r>
      <w:r w:rsidRPr="00FD176B">
        <w:rPr>
          <w:rFonts w:asciiTheme="majorBidi" w:eastAsia="Verdana" w:hAnsiTheme="majorBidi" w:cstheme="majorBidi"/>
          <w:i/>
          <w:iCs/>
          <w:color w:val="800000"/>
          <w:w w:val="90"/>
          <w:sz w:val="28"/>
          <w:szCs w:val="28"/>
          <w:lang w:val="it-IT" w:eastAsia="zh-CN" w:bidi="ar-SY"/>
        </w:rPr>
        <w:t>AL-FAJR</w:t>
      </w:r>
      <w:r w:rsidRPr="00FD176B">
        <w:rPr>
          <w:rFonts w:asciiTheme="majorBidi" w:eastAsia="Verdana" w:hAnsiTheme="majorBidi" w:cstheme="majorBidi"/>
          <w:color w:val="800000"/>
          <w:w w:val="90"/>
          <w:sz w:val="28"/>
          <w:szCs w:val="28"/>
          <w:lang w:val="it-IT" w:eastAsia="zh-CN" w:bidi="ar-SY"/>
        </w:rPr>
        <w:t>)</w:t>
      </w:r>
    </w:p>
    <w:p w:rsidR="00C536E8" w:rsidRPr="00E92A6C" w:rsidRDefault="00C536E8" w:rsidP="00C536E8">
      <w:pPr>
        <w:pStyle w:val="NormalWeb"/>
        <w:spacing w:before="0" w:beforeAutospacing="0"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 w:rsidRPr="00E92A6C">
        <w:rPr>
          <w:rFonts w:asciiTheme="majorBidi" w:hAnsiTheme="majorBidi" w:cstheme="majorBidi"/>
          <w:color w:val="008000"/>
          <w:sz w:val="28"/>
          <w:szCs w:val="28"/>
          <w:lang w:val="it-IT"/>
        </w:rPr>
        <w:t>Un uomo ha compiuto la preghiera dell’Alba (</w:t>
      </w:r>
      <w:r w:rsidRPr="00B968DD"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Al-Fajr</w:t>
      </w:r>
      <w:r w:rsidRPr="00E92A6C">
        <w:rPr>
          <w:rFonts w:asciiTheme="majorBidi" w:hAnsiTheme="majorBidi" w:cstheme="majorBidi"/>
          <w:color w:val="008000"/>
          <w:sz w:val="28"/>
          <w:szCs w:val="28"/>
          <w:lang w:val="it-IT"/>
        </w:rPr>
        <w:t>) in congregazione, poi un altro è arrivato in ritardo e ha chiesto al primo di pregare con lui in qualità di preghiera supererogatoria così da poter guadagnare la ricompensa della preghiera in congregazione. Qual è il giudizio riguardo a ciò?</w:t>
      </w:r>
    </w:p>
    <w:p w:rsidR="00C536E8" w:rsidRPr="00E92A6C" w:rsidRDefault="00C536E8" w:rsidP="00C536E8">
      <w:pPr>
        <w:bidi w:val="0"/>
        <w:jc w:val="both"/>
        <w:rPr>
          <w:rFonts w:asciiTheme="majorBidi" w:hAnsiTheme="majorBidi" w:cstheme="majorBidi"/>
          <w:w w:val="90"/>
          <w:sz w:val="28"/>
          <w:szCs w:val="28"/>
          <w:lang w:val="it-IT"/>
        </w:rPr>
      </w:pP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>La lode a Iddio.</w:t>
      </w:r>
    </w:p>
    <w:p w:rsidR="00C536E8" w:rsidRPr="006D524F" w:rsidRDefault="00C536E8" w:rsidP="00C536E8">
      <w:pPr>
        <w:bidi w:val="0"/>
        <w:jc w:val="both"/>
        <w:rPr>
          <w:rFonts w:asciiTheme="majorBidi" w:hAnsiTheme="majorBidi" w:cstheme="majorBidi"/>
          <w:w w:val="90"/>
          <w:sz w:val="28"/>
          <w:szCs w:val="28"/>
          <w:lang w:val="it-IT"/>
        </w:rPr>
      </w:pPr>
      <w:r w:rsidRPr="001855AE">
        <w:rPr>
          <w:rFonts w:asciiTheme="majorBidi" w:hAnsiTheme="majorBidi" w:cstheme="majorBidi"/>
          <w:sz w:val="28"/>
          <w:szCs w:val="28"/>
          <w:lang w:val="it-IT"/>
        </w:rPr>
        <w:t>Non v’è male, se un uomo arriva dopo [le preghiere de] l’Alba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 (</w:t>
      </w:r>
      <w:r w:rsidRPr="006D524F">
        <w:rPr>
          <w:rFonts w:asciiTheme="majorBidi" w:hAnsiTheme="majorBidi" w:cstheme="majorBidi"/>
          <w:i/>
          <w:iCs/>
          <w:w w:val="90"/>
          <w:sz w:val="28"/>
          <w:szCs w:val="28"/>
          <w:lang w:val="it-IT"/>
        </w:rPr>
        <w:t>Al-Fajr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) </w:t>
      </w:r>
      <w:r w:rsidRPr="001855AE">
        <w:rPr>
          <w:rFonts w:asciiTheme="majorBidi" w:hAnsiTheme="majorBidi" w:cstheme="majorBidi"/>
          <w:sz w:val="28"/>
          <w:szCs w:val="28"/>
          <w:lang w:val="it-IT"/>
        </w:rPr>
        <w:t>o del Pomeriggio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 (</w:t>
      </w:r>
      <w:r w:rsidRPr="006D524F">
        <w:rPr>
          <w:rFonts w:asciiTheme="majorBidi" w:hAnsiTheme="majorBidi" w:cstheme="majorBidi"/>
          <w:i/>
          <w:iCs/>
          <w:w w:val="90"/>
          <w:sz w:val="28"/>
          <w:szCs w:val="28"/>
          <w:lang w:val="it-IT"/>
        </w:rPr>
        <w:t>Al-</w:t>
      </w:r>
      <w:r w:rsidRPr="00E92A6C">
        <w:rPr>
          <w:rFonts w:ascii="Helvetica" w:hAnsi="Helvetica"/>
          <w:b/>
          <w:bCs/>
          <w:color w:val="222222"/>
          <w:w w:val="90"/>
          <w:bdr w:val="none" w:sz="0" w:space="0" w:color="auto" w:frame="1"/>
          <w:shd w:val="clear" w:color="auto" w:fill="FFFFFF"/>
        </w:rPr>
        <w:t>᾿</w:t>
      </w:r>
      <w:r w:rsidRPr="006D524F">
        <w:rPr>
          <w:rFonts w:asciiTheme="majorBidi" w:hAnsiTheme="majorBidi" w:cstheme="majorBidi"/>
          <w:i/>
          <w:iCs/>
          <w:w w:val="90"/>
          <w:sz w:val="28"/>
          <w:szCs w:val="28"/>
          <w:lang w:val="it-IT"/>
        </w:rPr>
        <w:t>Asr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) </w:t>
      </w:r>
      <w:r w:rsidRPr="001855AE">
        <w:rPr>
          <w:rFonts w:asciiTheme="majorBidi" w:hAnsiTheme="majorBidi" w:cstheme="majorBidi"/>
          <w:sz w:val="28"/>
          <w:szCs w:val="28"/>
          <w:lang w:val="it-IT"/>
        </w:rPr>
        <w:t>e ha mancato la preghiera, acché un altro uomo preghi assieme a lui e, in tal modo, gli faccia elemosina, poiché la regola è che ogni preghiera supererogatoria avente una causa specifica può essere eseguita nell’arco di tempo di interdizione come il caso del Saluto alla Moschea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 (</w:t>
      </w:r>
      <w:r w:rsidRPr="006D524F">
        <w:rPr>
          <w:rFonts w:asciiTheme="majorBidi" w:hAnsiTheme="majorBidi" w:cstheme="majorBidi"/>
          <w:i/>
          <w:iCs/>
          <w:w w:val="90"/>
          <w:sz w:val="28"/>
          <w:szCs w:val="28"/>
          <w:lang w:val="it-IT"/>
        </w:rPr>
        <w:t>Tahīyyatu Al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>-</w:t>
      </w:r>
      <w:r w:rsidRPr="006D524F">
        <w:rPr>
          <w:rFonts w:asciiTheme="majorBidi" w:hAnsiTheme="majorBidi" w:cstheme="majorBidi"/>
          <w:i/>
          <w:iCs/>
          <w:w w:val="90"/>
          <w:sz w:val="28"/>
          <w:szCs w:val="28"/>
          <w:lang w:val="it-IT"/>
        </w:rPr>
        <w:t>Masjid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), </w:t>
      </w:r>
      <w:r w:rsidRPr="001855AE">
        <w:rPr>
          <w:rFonts w:asciiTheme="majorBidi" w:hAnsiTheme="majorBidi" w:cstheme="majorBidi"/>
          <w:sz w:val="28"/>
          <w:szCs w:val="28"/>
          <w:lang w:val="it-IT"/>
        </w:rPr>
        <w:t>della prosternazione della recitazione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 (</w:t>
      </w:r>
      <w:r w:rsidRPr="006D524F">
        <w:rPr>
          <w:rFonts w:asciiTheme="majorBidi" w:hAnsiTheme="majorBidi" w:cstheme="majorBidi"/>
          <w:i/>
          <w:iCs/>
          <w:w w:val="90"/>
          <w:sz w:val="28"/>
          <w:szCs w:val="28"/>
          <w:lang w:val="it-IT"/>
        </w:rPr>
        <w:t>Sujūd At-Tilāwah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), </w:t>
      </w:r>
      <w:r w:rsidRPr="001855AE">
        <w:rPr>
          <w:rFonts w:asciiTheme="majorBidi" w:hAnsiTheme="majorBidi" w:cstheme="majorBidi"/>
          <w:sz w:val="28"/>
          <w:szCs w:val="28"/>
          <w:lang w:val="it-IT"/>
        </w:rPr>
        <w:t>della preghiera di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 </w:t>
      </w:r>
      <w:r w:rsidRPr="006D524F">
        <w:rPr>
          <w:rFonts w:asciiTheme="majorBidi" w:hAnsiTheme="majorBidi" w:cstheme="majorBidi"/>
          <w:i/>
          <w:iCs/>
          <w:w w:val="90"/>
          <w:sz w:val="28"/>
          <w:szCs w:val="28"/>
          <w:lang w:val="it-IT"/>
        </w:rPr>
        <w:t>Isti</w:t>
      </w:r>
      <w:r w:rsidRPr="006D524F">
        <w:rPr>
          <w:rFonts w:asciiTheme="majorBidi" w:hAnsiTheme="majorBidi" w:cstheme="majorBidi"/>
          <w:i/>
          <w:iCs/>
          <w:w w:val="90"/>
          <w:sz w:val="28"/>
          <w:szCs w:val="28"/>
          <w:u w:val="single"/>
          <w:lang w:val="it-IT"/>
        </w:rPr>
        <w:t>kh</w:t>
      </w:r>
      <w:r w:rsidRPr="006D524F">
        <w:rPr>
          <w:rFonts w:asciiTheme="majorBidi" w:hAnsiTheme="majorBidi" w:cstheme="majorBidi"/>
          <w:i/>
          <w:iCs/>
          <w:w w:val="90"/>
          <w:sz w:val="28"/>
          <w:szCs w:val="28"/>
          <w:lang w:val="it-IT"/>
        </w:rPr>
        <w:t>ārah</w:t>
      </w:r>
      <w:r w:rsidRPr="006D524F">
        <w:rPr>
          <w:rFonts w:asciiTheme="majorBidi" w:hAnsiTheme="majorBidi" w:cstheme="majorBidi"/>
          <w:w w:val="90"/>
          <w:sz w:val="28"/>
          <w:szCs w:val="28"/>
          <w:lang w:val="it-IT"/>
        </w:rPr>
        <w:t xml:space="preserve"> </w:t>
      </w:r>
      <w:r w:rsidRPr="001855AE">
        <w:rPr>
          <w:rFonts w:asciiTheme="majorBidi" w:hAnsiTheme="majorBidi" w:cstheme="majorBidi"/>
          <w:sz w:val="28"/>
          <w:szCs w:val="28"/>
          <w:lang w:val="it-IT"/>
        </w:rPr>
        <w:t>in occasione di una questione il cui termine si conclude prima del termine del tempo di interdizione, del fare elemosina alla persona che arriva dopo la preghiera del Pomeriggio o dopo quella dell’Alba, e di altre circostanze simili.</w:t>
      </w:r>
    </w:p>
    <w:p w:rsidR="00C536E8" w:rsidRPr="006D524F" w:rsidRDefault="00C536E8" w:rsidP="00C536E8">
      <w:pPr>
        <w:bidi w:val="0"/>
        <w:jc w:val="both"/>
        <w:rPr>
          <w:rFonts w:asciiTheme="majorBidi" w:hAnsiTheme="majorBidi" w:cstheme="majorBidi"/>
          <w:sz w:val="28"/>
          <w:szCs w:val="28"/>
          <w:lang w:val="it-IT"/>
        </w:rPr>
      </w:pPr>
    </w:p>
    <w:p w:rsidR="00FD1E49" w:rsidRPr="00DA5D93" w:rsidRDefault="00C536E8" w:rsidP="003E2A42">
      <w:pPr>
        <w:bidi w:val="0"/>
        <w:jc w:val="both"/>
        <w:rPr>
          <w:rFonts w:cstheme="minorHAnsi"/>
          <w:color w:val="006666"/>
          <w:sz w:val="36"/>
          <w:szCs w:val="36"/>
          <w:rtl/>
          <w:lang w:bidi="ar-EG"/>
        </w:rPr>
      </w:pPr>
      <w:r w:rsidRPr="006D524F">
        <w:rPr>
          <w:rFonts w:asciiTheme="majorBidi" w:hAnsiTheme="majorBidi" w:cstheme="majorBidi"/>
          <w:sz w:val="28"/>
          <w:szCs w:val="28"/>
          <w:lang w:val="it-IT"/>
        </w:rPr>
        <w:t>Da “</w:t>
      </w:r>
      <w:r w:rsidRPr="006D524F">
        <w:rPr>
          <w:rFonts w:asciiTheme="majorBidi" w:hAnsiTheme="majorBidi" w:cstheme="majorBidi"/>
          <w:i/>
          <w:iCs/>
          <w:sz w:val="28"/>
          <w:szCs w:val="28"/>
          <w:lang w:val="it-IT"/>
        </w:rPr>
        <w:t>Liqā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῾</w:t>
      </w:r>
      <w:r w:rsidRPr="006D524F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 Al-Bāb Al-Maftūĥ</w:t>
      </w:r>
      <w:r w:rsidRPr="006D524F">
        <w:rPr>
          <w:rFonts w:asciiTheme="majorBidi" w:hAnsiTheme="majorBidi" w:cstheme="majorBidi"/>
          <w:sz w:val="28"/>
          <w:szCs w:val="28"/>
          <w:lang w:val="it-IT"/>
        </w:rPr>
        <w:t xml:space="preserve">” di </w:t>
      </w:r>
      <w:r w:rsidRPr="006D524F">
        <w:rPr>
          <w:rFonts w:asciiTheme="majorBidi" w:hAnsiTheme="majorBidi" w:cstheme="majorBidi"/>
          <w:i/>
          <w:iCs/>
          <w:sz w:val="28"/>
          <w:szCs w:val="28"/>
          <w:lang w:val="it-IT"/>
        </w:rPr>
        <w:t>Ibn ‘U</w:t>
      </w:r>
      <w:r w:rsidRPr="006D524F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th</w:t>
      </w:r>
      <w:r w:rsidRPr="006D524F">
        <w:rPr>
          <w:rFonts w:asciiTheme="majorBidi" w:hAnsiTheme="majorBidi" w:cstheme="majorBidi"/>
          <w:i/>
          <w:iCs/>
          <w:sz w:val="28"/>
          <w:szCs w:val="28"/>
          <w:lang w:val="it-IT"/>
        </w:rPr>
        <w:t>aymīn</w:t>
      </w:r>
      <w:r w:rsidRPr="006D524F">
        <w:rPr>
          <w:rFonts w:asciiTheme="majorBidi" w:hAnsiTheme="majorBidi" w:cstheme="majorBidi"/>
          <w:sz w:val="28"/>
          <w:szCs w:val="28"/>
          <w:lang w:val="it-IT"/>
        </w:rPr>
        <w:t xml:space="preserve"> (pag. 169).</w:t>
      </w:r>
      <w:bookmarkEnd w:id="3"/>
    </w:p>
    <w:sectPr w:rsidR="00FD1E49" w:rsidRPr="00DA5D93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750" w:rsidRDefault="00593750" w:rsidP="00E32771">
      <w:pPr>
        <w:spacing w:after="0" w:line="240" w:lineRule="auto"/>
      </w:pPr>
      <w:r>
        <w:separator/>
      </w:r>
    </w:p>
  </w:endnote>
  <w:endnote w:type="continuationSeparator" w:id="0">
    <w:p w:rsidR="00593750" w:rsidRDefault="0059375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7331205-EA36-47BB-8B1D-8218DD1B37E0}"/>
    <w:embedBold r:id="rId2" w:fontKey="{70691FA2-EFFC-4F08-8282-36E059C1B65E}"/>
    <w:embedItalic r:id="rId3" w:fontKey="{D81BE923-DD16-4664-96AB-569596EAD47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53C1AA87-E22C-4FE1-A6A7-BD22E200B894}"/>
    <w:embedBold r:id="rId5" w:fontKey="{C753AA45-DDF5-46D8-A9A4-1AA28EF925E9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6" w:fontKey="{BDDFC645-D4AF-4B6E-930D-857D6FB7D7A1}"/>
    <w:embedItalic r:id="rId7" w:fontKey="{BB141B61-59CE-433A-9AD6-9051C3C8068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42EE6781-A40D-4A3B-ADB9-8B6399B356E0}"/>
    <w:embedBold r:id="rId9" w:fontKey="{140AD671-04F3-4976-80E1-C05529F5A85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B08CF3FB-934D-4C4B-8185-FFAB04EB6079}"/>
    <w:embedItalic r:id="rId11" w:fontKey="{61616C5C-668C-4017-AF0E-CC47CCCA2954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C421A27B-ED71-4C99-ACAA-AB959D0DFB73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0FAD3F4D-6451-40F4-B82D-C8A74B512621}"/>
    <w:embedBold r:id="rId14" w:fontKey="{3C128973-4D79-4AF4-BA65-FFBE8F7FA49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1B600B5D-687E-44FC-9AD6-219264187A8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5367BA20-8385-443E-A1DF-E80E257CA578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7" w:fontKey="{C28DB4B2-DB2C-4A39-93BB-A2DB419B588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2FE4011F-B643-46E0-9DD6-25E46254B838}"/>
    <w:embedBold r:id="rId19" w:fontKey="{5E5D6D5B-58D5-4AAA-8E74-FE4FE6F0F3D4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0" w:fontKey="{444A0940-A363-4C51-A1E9-B25B8C50404D}"/>
    <w:embedBold r:id="rId21" w:fontKey="{E2B1F49B-9CAC-47C9-B82F-FFD1BC3E5F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F8398D">
          <w:rPr>
            <w:noProof/>
            <w:sz w:val="28"/>
            <w:szCs w:val="28"/>
          </w:rPr>
          <w:t>1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750" w:rsidRDefault="00593750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593750" w:rsidRDefault="00593750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593750" w:rsidRDefault="00593750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171C08"/>
    <w:rsid w:val="00184B62"/>
    <w:rsid w:val="001855AE"/>
    <w:rsid w:val="00187D3B"/>
    <w:rsid w:val="001A0D79"/>
    <w:rsid w:val="001F4E86"/>
    <w:rsid w:val="002219E3"/>
    <w:rsid w:val="00223B3B"/>
    <w:rsid w:val="0023307B"/>
    <w:rsid w:val="00244087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906F7"/>
    <w:rsid w:val="003A3CDC"/>
    <w:rsid w:val="003E1AC6"/>
    <w:rsid w:val="003E2A42"/>
    <w:rsid w:val="00447B55"/>
    <w:rsid w:val="004C1156"/>
    <w:rsid w:val="004C2827"/>
    <w:rsid w:val="004C2F52"/>
    <w:rsid w:val="004E2AD6"/>
    <w:rsid w:val="004E38A0"/>
    <w:rsid w:val="004E78EF"/>
    <w:rsid w:val="00556722"/>
    <w:rsid w:val="005666DC"/>
    <w:rsid w:val="00571F30"/>
    <w:rsid w:val="00575281"/>
    <w:rsid w:val="0058544F"/>
    <w:rsid w:val="00593750"/>
    <w:rsid w:val="005A2707"/>
    <w:rsid w:val="0060157E"/>
    <w:rsid w:val="00626D06"/>
    <w:rsid w:val="00662A2B"/>
    <w:rsid w:val="0069533C"/>
    <w:rsid w:val="006B4F4B"/>
    <w:rsid w:val="006D524F"/>
    <w:rsid w:val="00705C71"/>
    <w:rsid w:val="00717FAE"/>
    <w:rsid w:val="00730A0D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4C90"/>
    <w:rsid w:val="009967F9"/>
    <w:rsid w:val="00A021C5"/>
    <w:rsid w:val="00A052E1"/>
    <w:rsid w:val="00A0781B"/>
    <w:rsid w:val="00A16920"/>
    <w:rsid w:val="00A507EE"/>
    <w:rsid w:val="00A61E5C"/>
    <w:rsid w:val="00AA08E7"/>
    <w:rsid w:val="00B04BE4"/>
    <w:rsid w:val="00B21534"/>
    <w:rsid w:val="00B3510F"/>
    <w:rsid w:val="00B50A3A"/>
    <w:rsid w:val="00B60FB7"/>
    <w:rsid w:val="00B71399"/>
    <w:rsid w:val="00B820AA"/>
    <w:rsid w:val="00B968DD"/>
    <w:rsid w:val="00BA456F"/>
    <w:rsid w:val="00BD190F"/>
    <w:rsid w:val="00BF04A9"/>
    <w:rsid w:val="00C03201"/>
    <w:rsid w:val="00C10E38"/>
    <w:rsid w:val="00C31855"/>
    <w:rsid w:val="00C37C22"/>
    <w:rsid w:val="00C408EE"/>
    <w:rsid w:val="00C536E8"/>
    <w:rsid w:val="00C72BD4"/>
    <w:rsid w:val="00CA5FDC"/>
    <w:rsid w:val="00CD4735"/>
    <w:rsid w:val="00CE6030"/>
    <w:rsid w:val="00CF693B"/>
    <w:rsid w:val="00CF6C11"/>
    <w:rsid w:val="00D06CFA"/>
    <w:rsid w:val="00D2227B"/>
    <w:rsid w:val="00D46176"/>
    <w:rsid w:val="00D849A2"/>
    <w:rsid w:val="00D85A5F"/>
    <w:rsid w:val="00DA3EF4"/>
    <w:rsid w:val="00DA5D93"/>
    <w:rsid w:val="00DC6A8E"/>
    <w:rsid w:val="00DE5862"/>
    <w:rsid w:val="00E0530C"/>
    <w:rsid w:val="00E25D4B"/>
    <w:rsid w:val="00E32771"/>
    <w:rsid w:val="00E3745F"/>
    <w:rsid w:val="00E41C7A"/>
    <w:rsid w:val="00E5682B"/>
    <w:rsid w:val="00E710AA"/>
    <w:rsid w:val="00E92A6C"/>
    <w:rsid w:val="00EB6A67"/>
    <w:rsid w:val="00EE5A20"/>
    <w:rsid w:val="00EE70E3"/>
    <w:rsid w:val="00F2420A"/>
    <w:rsid w:val="00F2570D"/>
    <w:rsid w:val="00F3173B"/>
    <w:rsid w:val="00F80820"/>
    <w:rsid w:val="00F8398D"/>
    <w:rsid w:val="00FC1B23"/>
    <w:rsid w:val="00FD176B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D599BE-BF54-42EB-9F35-A670687F5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3DA4F-5BD3-4A69-BE2E-134C80E37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225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1509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L’ELEMOSINA A UNA PERSONA PREGANDOVI ASSIEME DOPO L’ALBA _x000d_(AL-FAJR)_x000d_</dc:title>
  <dc:subject>L’ELEMOSINA A UNA PERSONA PREGANDOVI ASSIEME DOPO L’ALBA _x000d_(AL-FAJR)_x000d_</dc:subject>
  <dc:creator>Ash-Shaykh Muĥammad Şāliĥ Ibn ‘Uthaymīn</dc:creator>
  <cp:keywords>L’ELEMOSINA A UNA PERSONA PREGANDOVI ASSIEME DOPO L’ALBA _x000d_(AL-FAJR)_x000d_</cp:keywords>
  <dc:description>L’ELEMOSINA A UNA PERSONA PREGANDOVI ASSIEME DOPO L’ALBA _x000d_(AL-FAJR)_x000d_</dc:description>
  <cp:lastModifiedBy>Mahmoud</cp:lastModifiedBy>
  <cp:revision>19</cp:revision>
  <cp:lastPrinted>2015-01-13T04:52:00Z</cp:lastPrinted>
  <dcterms:created xsi:type="dcterms:W3CDTF">2017-04-01T07:07:00Z</dcterms:created>
  <dcterms:modified xsi:type="dcterms:W3CDTF">2017-05-08T18:36:00Z</dcterms:modified>
  <cp:category/>
</cp:coreProperties>
</file>