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664" w:rsidRDefault="00391664" w:rsidP="00391664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244087" w:rsidRPr="00DD36C5" w:rsidRDefault="00391664" w:rsidP="00391664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391664">
        <w:rPr>
          <w:rFonts w:asciiTheme="majorBidi" w:eastAsia="Verdana" w:hAnsiTheme="majorBidi" w:cstheme="majorBidi"/>
          <w:sz w:val="40"/>
          <w:szCs w:val="40"/>
          <w:lang w:eastAsia="zh-CN" w:bidi="ar-SY"/>
        </w:rPr>
        <w:t>L’UNIONE TRA IL RECUPERO DI RAMAḐĀN E IL DIGIUNO DI ʿĀSHŪRĀ’ O ʿARAFAH</w:t>
      </w:r>
    </w:p>
    <w:p w:rsidR="00FD1E49" w:rsidRPr="00C67DCB" w:rsidRDefault="00391664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6704" behindDoc="0" locked="0" layoutInCell="1" allowOverlap="1" wp14:anchorId="0C353F7B" wp14:editId="71D0FC04">
            <wp:simplePos x="0" y="0"/>
            <wp:positionH relativeFrom="margin">
              <wp:posOffset>354965</wp:posOffset>
            </wp:positionH>
            <wp:positionV relativeFrom="paragraph">
              <wp:posOffset>104775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17128A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391664" w:rsidRPr="00391664" w:rsidRDefault="00391664" w:rsidP="00FD1E49">
      <w:pPr>
        <w:jc w:val="center"/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</w:pP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lastRenderedPageBreak/>
        <w:t>الجمع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بين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قضاء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رمضان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وصوم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عاشوراء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أو</w:t>
      </w:r>
      <w:r w:rsidRPr="00391664">
        <w:rPr>
          <w:rFonts w:ascii="ae_AlArabiya" w:hAnsi="ae_AlArabiya" w:cs="KFGQPC Uthman Taha Naskh"/>
          <w:b/>
          <w:bCs/>
          <w:sz w:val="44"/>
          <w:szCs w:val="44"/>
          <w:rtl/>
          <w:lang w:bidi="ar-EG"/>
        </w:rPr>
        <w:t xml:space="preserve"> </w:t>
      </w:r>
      <w:r w:rsidRPr="00391664">
        <w:rPr>
          <w:rFonts w:ascii="ae_AlArabiya" w:hAnsi="ae_AlArabiya" w:cs="KFGQPC Uthman Taha Naskh" w:hint="cs"/>
          <w:b/>
          <w:bCs/>
          <w:sz w:val="44"/>
          <w:szCs w:val="44"/>
          <w:rtl/>
          <w:lang w:bidi="ar-EG"/>
        </w:rPr>
        <w:t>عرفة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0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bookmarkEnd w:id="0"/>
    <w:p w:rsidR="00FD1E49" w:rsidRDefault="0017128A" w:rsidP="0017128A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p w:rsidR="0017128A" w:rsidRPr="0017128A" w:rsidRDefault="0017128A" w:rsidP="0017128A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1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lastRenderedPageBreak/>
        <w:t xml:space="preserve">L’UNIONE TRA IL RECUPERO DI 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eastAsia="zh-CN" w:bidi="ar-SY"/>
        </w:rPr>
        <w:t>RAMAḐĀN</w:t>
      </w: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 xml:space="preserve"> E IL DIGIUNO DI </w:t>
      </w:r>
      <w:r>
        <w:rPr>
          <w:rFonts w:asciiTheme="majorBidi" w:eastAsiaTheme="minorEastAsia" w:hAnsiTheme="majorBidi" w:cs="Times New Roman"/>
          <w:i/>
          <w:iCs/>
          <w:color w:val="800000"/>
          <w:sz w:val="28"/>
          <w:szCs w:val="28"/>
          <w:u w:val="single"/>
          <w:lang w:eastAsia="zh-CN" w:bidi="ar-SY"/>
        </w:rPr>
        <w:t xml:space="preserve">ʿĀSHŪRĀ’ </w:t>
      </w:r>
      <w:r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  <w:t xml:space="preserve">O 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u w:val="single"/>
          <w:lang w:eastAsia="zh-CN" w:bidi="ar-SY"/>
        </w:rPr>
        <w:t>ʿARAFAH</w:t>
      </w:r>
    </w:p>
    <w:bookmarkEnd w:id="1"/>
    <w:p w:rsidR="00391664" w:rsidRDefault="00391664" w:rsidP="00391664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Mi è possibile osservare un digiuno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Sunnah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con l’intenzione di recuperare giorni che devo da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Ramaḑān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? E fare lo stesso con l’intenzione di digiuno supererogatorio (come quello del giorno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ʿĀ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ūrā’)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?</w:t>
      </w: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La lode a Iddio.</w:t>
      </w: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Questa questione è conosciuta presso i Sapienti come la questione dell’associamento o sovrapposizione tra gli atti di culto. Ciò assume molte forme, tra cui questa che consiste nell’unione tra ciò che è obbligatorio (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far</w:t>
      </w:r>
      <w:r>
        <w:rPr>
          <w:rFonts w:asciiTheme="majorBidi" w:hAnsiTheme="majorBidi" w:cstheme="majorBidi"/>
          <w:i/>
          <w:iCs/>
          <w:sz w:val="28"/>
          <w:szCs w:val="28"/>
        </w:rPr>
        <w:t>ḑ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) e ciò che è desiderabile (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mustaĥabb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) nella medesima intenzione. Così, chi intenda compiere ciò che è desiderabile non adempie a ciò che è obbligatorio. Quindi chi digiuni con l’intenzione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ūrā’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, quello non gli varrà come recupero di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Ramaḑān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. Chi invece intenda recuperare il digiuno di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Ramaḑān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 mancato e lo faccia nel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ūrā’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, allora il suo recupero sarà valido e si spera che ottenga la ricompensa per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ūrā’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, secondo alcuni sapienti.</w:t>
      </w:r>
    </w:p>
    <w:p w:rsidR="00391664" w:rsidRP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Ar-Ramlī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 - </w:t>
      </w:r>
      <w:r>
        <w:rPr>
          <w:rFonts w:asciiTheme="majorBidi" w:eastAsia="Verdana" w:hAnsiTheme="majorBidi" w:cstheme="majorBidi"/>
          <w:lang w:eastAsia="zh-CN" w:bidi="ar-SY"/>
        </w:rPr>
        <w:t xml:space="preserve">che Iddio ne abbia misericordia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- disse in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Nih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yatu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Al-Muĥt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j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 </w:t>
      </w: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>(3/208)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: “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Se digiuna a 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aww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l per recupero o voto o altro, o in un’occasione quale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ūrā’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, otterrà ricompensa del suo [digiuno] supererogatorio in questi [giorni], come ha giudicato mio padre -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 xml:space="preserve">che Iddio ne abbia misericordia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- sull’esempio di Al-B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riz</w:t>
      </w:r>
      <w:r>
        <w:rPr>
          <w:rFonts w:asciiTheme="majorBidi" w:eastAsiaTheme="minorEastAsia" w:hAnsiTheme="majorBidi" w:cs="Times New Roman"/>
          <w:i/>
          <w:iCs/>
          <w:sz w:val="28"/>
          <w:szCs w:val="28"/>
          <w:lang w:eastAsia="zh-CN" w:bidi="ar-SY"/>
        </w:rPr>
        <w:t>ī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, Al-Aşf</w:t>
      </w:r>
      <w:r>
        <w:rPr>
          <w:rFonts w:asciiTheme="majorBidi" w:hAnsiTheme="majorBidi" w:cstheme="majorBidi"/>
          <w:i/>
          <w:iCs/>
          <w:sz w:val="28"/>
          <w:szCs w:val="28"/>
        </w:rPr>
        <w:t>ū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nī, An-N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irī, il giurista </w:t>
      </w:r>
      <w:r>
        <w:rPr>
          <w:rFonts w:asciiTheme="majorBidi" w:hAnsiTheme="majorBidi" w:cstheme="majorBidi"/>
          <w:i/>
          <w:iCs/>
          <w:sz w:val="28"/>
          <w:szCs w:val="28"/>
        </w:rPr>
        <w:t>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Alī Ibn Ş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liĥ Al-Ĥa</w:t>
      </w:r>
      <w:r>
        <w:rPr>
          <w:rFonts w:asciiTheme="majorBidi" w:hAnsiTheme="majorBidi" w:cstheme="majorBidi"/>
          <w:i/>
          <w:iCs/>
          <w:sz w:val="28"/>
          <w:szCs w:val="28"/>
        </w:rPr>
        <w:t>ḑ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ramī e altri; ma non otterrà la piena ricompensa che giunge dal compiere ciò che è richiesto, specialmente chi manca Ramadan e ha digiunato al suo posto 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aww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l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”.</w:t>
      </w: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4"/>
          <w:szCs w:val="24"/>
          <w:lang w:eastAsia="zh-CN" w:bidi="ar-SY"/>
        </w:rPr>
      </w:pP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>[Fine della citazione. E similmente anche in “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Mu</w:t>
      </w:r>
      <w:r>
        <w:rPr>
          <w:rFonts w:asciiTheme="majorBidi" w:eastAsia="Verdana" w:hAnsiTheme="majorBidi" w:cstheme="majorBidi"/>
          <w:i/>
          <w:iCs/>
          <w:sz w:val="24"/>
          <w:szCs w:val="24"/>
          <w:u w:val="single"/>
          <w:lang w:eastAsia="zh-CN" w:bidi="ar-SY"/>
        </w:rPr>
        <w:t>gh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nī</w:t>
      </w: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 xml:space="preserve"> 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Al-Muĥtāj</w:t>
      </w: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>” (2/184) e “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Ĥawā</w:t>
      </w:r>
      <w:r>
        <w:rPr>
          <w:rFonts w:asciiTheme="majorBidi" w:eastAsia="Verdana" w:hAnsiTheme="majorBidi" w:cstheme="majorBidi"/>
          <w:i/>
          <w:iCs/>
          <w:sz w:val="24"/>
          <w:szCs w:val="24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ī Tuĥfatu</w:t>
      </w: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 xml:space="preserve"> </w:t>
      </w:r>
      <w:r>
        <w:rPr>
          <w:rFonts w:asciiTheme="majorBidi" w:eastAsia="Verdana" w:hAnsiTheme="majorBidi" w:cstheme="majorBidi"/>
          <w:i/>
          <w:iCs/>
          <w:sz w:val="24"/>
          <w:szCs w:val="24"/>
          <w:lang w:eastAsia="zh-CN" w:bidi="ar-SY"/>
        </w:rPr>
        <w:t>Al-Muĥtāj</w:t>
      </w:r>
      <w:r>
        <w:rPr>
          <w:rFonts w:asciiTheme="majorBidi" w:eastAsia="Verdana" w:hAnsiTheme="majorBidi" w:cstheme="majorBidi"/>
          <w:sz w:val="24"/>
          <w:szCs w:val="24"/>
          <w:lang w:eastAsia="zh-CN" w:bidi="ar-SY"/>
        </w:rPr>
        <w:t>” (3/457)]</w:t>
      </w:r>
    </w:p>
    <w:p w:rsidR="0075155D" w:rsidRDefault="0075155D" w:rsidP="0075155D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4"/>
          <w:szCs w:val="24"/>
          <w:lang w:eastAsia="zh-CN" w:bidi="ar-SY"/>
        </w:rPr>
      </w:pPr>
      <w:bookmarkStart w:id="2" w:name="_GoBack"/>
      <w:bookmarkEnd w:id="2"/>
    </w:p>
    <w:p w:rsidR="00391664" w:rsidRP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lastRenderedPageBreak/>
        <w:t>A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-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ay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 Ibn </w:t>
      </w:r>
      <w:r>
        <w:rPr>
          <w:rFonts w:asciiTheme="majorBidi" w:hAnsiTheme="majorBidi" w:cstheme="majorBidi"/>
          <w:i/>
          <w:iCs/>
          <w:sz w:val="28"/>
          <w:szCs w:val="28"/>
        </w:rPr>
        <w:t>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U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th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aymīn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 - </w:t>
      </w:r>
      <w:r>
        <w:rPr>
          <w:rFonts w:asciiTheme="majorBidi" w:eastAsia="Verdana" w:hAnsiTheme="majorBidi" w:cstheme="majorBidi"/>
          <w:lang w:eastAsia="zh-CN" w:bidi="ar-SY"/>
        </w:rPr>
        <w:t xml:space="preserve">che Iddio ne abbia misericordia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- disse in “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Fatāwā Aş-Şiyām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” (438): “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Chi digiuni il giorno di ‘Arafah o il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ūrā’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, e deve recuperare da Ramaḑān, il suo digiuno sarà valido, ma se intendesse digiunare quel giorno come recupero di Ramaḑān, riceverà doppia ricompensa: la ricompensa del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Arafah o del giorno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ūrā’ 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e la ricompensa del recupero. Ciò riguarda il digiuno supererogatorio di carattere generale (Al-Muţlaq), che non ha alcuna connessione con Ramaḑān. Ma riguardo al digiuno di sei giorni di </w:t>
      </w:r>
      <w:r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aww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 xml:space="preserve">l invece, essi sono connessi a Ramaḑān, e non possono essere [eseguiti] se non dopo il suo recupero. Quindi se li digiuni prima del recupero non ne otterrà la ricompensa, per il detto del Profeta </w:t>
      </w:r>
      <w:r>
        <w:rPr>
          <w:rFonts w:ascii="Arial Unicode MS" w:hAnsi="Arial Unicode MS" w:cs="Arial Unicode MS" w:hint="eastAsia"/>
          <w:i/>
          <w:iCs/>
          <w:color w:val="1D2129"/>
          <w:sz w:val="24"/>
          <w:szCs w:val="24"/>
          <w:rtl/>
        </w:rPr>
        <w:t>ﷺ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: «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eastAsia="zh-CN" w:bidi="ar-SY"/>
        </w:rPr>
        <w:t xml:space="preserve">Chi digiuni Ramaḑān e poi vi faccia seguire sei di 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u w:val="single"/>
          <w:lang w:eastAsia="zh-CN" w:bidi="ar-SY"/>
        </w:rPr>
        <w:t>Sh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eastAsia="zh-CN" w:bidi="ar-SY"/>
        </w:rPr>
        <w:t>aww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eastAsia="zh-CN" w:bidi="ar-SY"/>
        </w:rPr>
        <w:t>l, sarà come se digiunasse l’intero anno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» ed è ben noto che chi dovesse avere il recupero, allora non è da considerarsi digiunatore di Ramaḑān finché non completi il recupero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”. </w:t>
      </w:r>
      <w:r>
        <w:rPr>
          <w:rFonts w:asciiTheme="majorBidi" w:eastAsia="Verdana" w:hAnsiTheme="majorBidi" w:cstheme="majorBidi"/>
          <w:lang w:eastAsia="zh-CN" w:bidi="ar-SY"/>
        </w:rPr>
        <w:t xml:space="preserve">[Fine della citazione]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Inoltre occorre che la persona si affretti nel recuperare ciò che deve, e questo ha maggior priorità dal compiere ciò che è supererogatorio, ma se dovesse strigere il tempo e non abbia possibilità di recuperare tutti i giorni che deve e tema di mancare il digiuno di un giorno meritevole come quello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ūrā’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o 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Arafah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 xml:space="preserve">, allora che digiuni con l’intenzione di recupero, e si spera ottenga ugualmente la ricompensa di </w:t>
      </w:r>
      <w:r>
        <w:rPr>
          <w:rFonts w:asciiTheme="majorBidi" w:hAnsiTheme="majorBidi" w:cstheme="majorBidi"/>
          <w:i/>
          <w:iCs/>
          <w:sz w:val="28"/>
          <w:szCs w:val="28"/>
        </w:rPr>
        <w:t>ʿĀ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ūrā’ 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e ʿ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Arafah</w:t>
      </w: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, ché invero la grazia di Iddio è immensa.</w:t>
      </w: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E Iddio è più Sapiente.</w:t>
      </w:r>
    </w:p>
    <w:p w:rsidR="00391664" w:rsidRDefault="00391664" w:rsidP="00391664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Isl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m Q&amp;A</w:t>
      </w:r>
    </w:p>
    <w:p w:rsidR="005666DC" w:rsidRPr="00665E3F" w:rsidRDefault="005666DC" w:rsidP="00391664">
      <w:pPr>
        <w:bidi w:val="0"/>
        <w:jc w:val="both"/>
        <w:rPr>
          <w:rFonts w:cstheme="minorHAnsi"/>
          <w:lang w:val="it-IT"/>
        </w:rPr>
      </w:pPr>
    </w:p>
    <w:sectPr w:rsidR="005666DC" w:rsidRPr="00665E3F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DA7" w:rsidRDefault="009D5DA7" w:rsidP="00E32771">
      <w:pPr>
        <w:spacing w:after="0" w:line="240" w:lineRule="auto"/>
      </w:pPr>
      <w:r>
        <w:separator/>
      </w:r>
    </w:p>
  </w:endnote>
  <w:endnote w:type="continuationSeparator" w:id="0">
    <w:p w:rsidR="009D5DA7" w:rsidRDefault="009D5DA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CBE4171-F99F-48FF-9CAF-A88D1FE8AD7D}"/>
    <w:embedBold r:id="rId2" w:fontKey="{07569A96-BB86-41AA-9590-795BED9C5F31}"/>
    <w:embedItalic r:id="rId3" w:fontKey="{C5C8B177-53CE-4B90-A124-7C41D53CD61A}"/>
    <w:embedBoldItalic r:id="rId4" w:fontKey="{F0FB257B-ED49-4EF5-BC1F-2A64EE3C31A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F2FA8B63-1626-424A-AF46-4FBAB9ED920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49276FC8-AA30-441B-9659-2BF8687A30E4}"/>
    <w:embedBold r:id="rId7" w:fontKey="{208C4E56-AC22-4F0A-9CF9-288A94D618F3}"/>
    <w:embedItalic r:id="rId8" w:fontKey="{74FCCD02-CF84-46BB-A744-6FF0DDC0B536}"/>
    <w:embedBoldItalic r:id="rId9" w:fontKey="{623DEE8E-3F70-434E-A299-7FEFF0F7CCB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C04CA63-E455-492D-9459-C71F8D14C256}"/>
    <w:embedItalic r:id="rId11" w:fontKey="{2ABEA630-2A1D-4380-91D7-F85114AFEFBF}"/>
    <w:embedBoldItalic r:id="rId12" w:fontKey="{FCCE163C-A5A4-4026-A1BE-1D063A0E223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D9B4C061-2485-4315-9AFA-933548A351A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0BC4359B-4E07-41E5-8A96-6C641F84983A}"/>
    <w:embedBold r:id="rId15" w:fontKey="{5CF2B513-6472-4FB3-A006-E5090B16A5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BF2B5B90-4FC4-41BD-9CCE-C84CD02EA6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17" w:subsetted="1" w:fontKey="{D8E340C3-5C76-481A-8198-F50F573274D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271706EF-1CDE-4F76-850C-C0B97F6F3BBC}"/>
    <w:embedBold r:id="rId19" w:fontKey="{4E10C6A5-CC83-4DBE-AED4-9C3C9656F6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8EB598EC-E82F-4481-8E24-951872FF6C6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4FD78DF9-6F99-4B67-A21A-399BA0D789F9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2" w:fontKey="{3DC93358-B04A-4B45-BEFD-F38BA901E0F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D69F1687-BB6F-4847-A146-2D5871539D86}"/>
    <w:embedBold r:id="rId24" w:fontKey="{98CBE5A2-FE1E-4CD7-96AF-DCB8FEE0AB91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75155D">
          <w:rPr>
            <w:noProof/>
            <w:sz w:val="28"/>
            <w:szCs w:val="28"/>
            <w:rtl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DA7" w:rsidRDefault="009D5DA7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9D5DA7" w:rsidRDefault="009D5DA7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9D5DA7" w:rsidRDefault="009D5DA7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28A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3072B2"/>
    <w:rsid w:val="00317B3C"/>
    <w:rsid w:val="003238D3"/>
    <w:rsid w:val="00347608"/>
    <w:rsid w:val="00357B1F"/>
    <w:rsid w:val="00372A0D"/>
    <w:rsid w:val="003906F7"/>
    <w:rsid w:val="00391664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068FD"/>
    <w:rsid w:val="00523189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5155D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2804"/>
    <w:rsid w:val="00944C90"/>
    <w:rsid w:val="009967F9"/>
    <w:rsid w:val="009D5DA7"/>
    <w:rsid w:val="00A021C5"/>
    <w:rsid w:val="00A052E1"/>
    <w:rsid w:val="00A0781B"/>
    <w:rsid w:val="00A26C77"/>
    <w:rsid w:val="00A507EE"/>
    <w:rsid w:val="00A61E5C"/>
    <w:rsid w:val="00A9161B"/>
    <w:rsid w:val="00AA7E77"/>
    <w:rsid w:val="00B04BE4"/>
    <w:rsid w:val="00B21534"/>
    <w:rsid w:val="00B3510F"/>
    <w:rsid w:val="00B50A3A"/>
    <w:rsid w:val="00B71399"/>
    <w:rsid w:val="00B820AA"/>
    <w:rsid w:val="00BA456F"/>
    <w:rsid w:val="00BD190F"/>
    <w:rsid w:val="00BE5547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B067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085E8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0F94E-E8E0-48F9-A99A-9D2A37CE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Kareem Helmy</dc:creator>
  <cp:keywords/>
  <dc:description/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2017-11-23T14:38:00Z</dcterms:modified>
</cp:coreProperties>
</file>