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92D" w:rsidRDefault="003D592D" w:rsidP="008B3703">
      <w:pPr>
        <w:bidi w:val="0"/>
        <w:jc w:val="center"/>
        <w:rPr>
          <w:rFonts w:ascii="Sylfaen" w:hAnsi="Sylfaen" w:cstheme="majorBidi"/>
          <w:sz w:val="48"/>
          <w:szCs w:val="48"/>
          <w:lang w:val="ka-GE" w:bidi="ar-EG"/>
        </w:rPr>
      </w:pPr>
    </w:p>
    <w:p w:rsidR="008B3703" w:rsidRDefault="005612D0" w:rsidP="003D592D">
      <w:pPr>
        <w:bidi w:val="0"/>
        <w:jc w:val="center"/>
        <w:rPr>
          <w:rFonts w:ascii="Sylfaen" w:hAnsi="Sylfaen" w:cstheme="majorBidi"/>
          <w:sz w:val="48"/>
          <w:szCs w:val="48"/>
          <w:lang w:val="ka-GE" w:bidi="ar-EG"/>
        </w:rPr>
      </w:pPr>
      <w:r w:rsidRPr="003D592D">
        <w:rPr>
          <w:rFonts w:ascii="Sylfaen" w:hAnsi="Sylfaen" w:cstheme="majorBidi"/>
          <w:color w:val="2F5496" w:themeColor="accent5" w:themeShade="BF"/>
          <w:sz w:val="48"/>
          <w:szCs w:val="48"/>
          <w:lang w:val="ka-GE" w:bidi="ar-EG"/>
        </w:rPr>
        <w:t>რეღაიბის ღამის ბიდათი ნამაზი</w:t>
      </w:r>
    </w:p>
    <w:p w:rsidR="008C2582" w:rsidRPr="00F17ADE" w:rsidRDefault="005612D0" w:rsidP="00395C53">
      <w:pPr>
        <w:spacing w:after="0" w:line="240" w:lineRule="auto"/>
        <w:ind w:firstLine="113"/>
        <w:jc w:val="center"/>
        <w:rPr>
          <w:rFonts w:ascii="Traditional Arabic" w:hAnsi="Traditional Arabic" w:cs="Traditional Arabic"/>
          <w:b/>
          <w:bCs/>
          <w:sz w:val="48"/>
          <w:szCs w:val="48"/>
        </w:rPr>
      </w:pPr>
      <w:r w:rsidRPr="00F17ADE">
        <w:rPr>
          <w:rFonts w:ascii="Traditional Arabic" w:hAnsi="Traditional Arabic" w:cs="Traditional Arabic"/>
          <w:b/>
          <w:bCs/>
          <w:sz w:val="48"/>
          <w:szCs w:val="48"/>
          <w:rtl/>
        </w:rPr>
        <w:t>بدعة صلاة الرغائب</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bookmarkStart w:id="0" w:name="_GoBack"/>
      <w:r w:rsidR="00395C53" w:rsidRPr="00395C53">
        <w:rPr>
          <w:rFonts w:asciiTheme="majorBidi" w:hAnsiTheme="majorBidi" w:cs="KFGQPC Uthman Taha Naskh"/>
          <w:color w:val="808080" w:themeColor="background1" w:themeShade="80"/>
          <w:sz w:val="28"/>
          <w:szCs w:val="28"/>
          <w:lang w:bidi="ar-EG"/>
        </w:rPr>
        <w:t>Georgian</w:t>
      </w:r>
      <w:bookmarkEnd w:id="0"/>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E2209" w:rsidRPr="00A144A4" w:rsidRDefault="00612550" w:rsidP="005E2209">
      <w:pPr>
        <w:bidi w:val="0"/>
        <w:spacing w:after="0" w:line="240" w:lineRule="auto"/>
        <w:ind w:firstLine="113"/>
        <w:jc w:val="center"/>
        <w:rPr>
          <w:rFonts w:ascii="Sylfaen" w:hAnsi="Sylfaen" w:cs="KFGQPC Uthman Taha Naskh"/>
          <w:color w:val="205B83"/>
          <w:sz w:val="40"/>
          <w:szCs w:val="40"/>
          <w:lang w:bidi="ar-EG"/>
        </w:rPr>
      </w:pPr>
      <w:hyperlink w:history="1">
        <w:r w:rsidRPr="00E63BAB">
          <w:rPr>
            <w:rStyle w:val="Hyperlink"/>
            <w:rFonts w:ascii="Times New Roman" w:hAnsi="Times New Roman" w:cs="KFGQPC Uthman Taha Naskh"/>
            <w:sz w:val="40"/>
            <w:szCs w:val="40"/>
            <w:rtl/>
            <w:lang w:bidi="ar-EG"/>
          </w:rPr>
          <w:t>موقع</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الإسلام</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سؤال</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وجواب</w:t>
        </w:r>
        <w:r w:rsidRPr="00E63BAB">
          <w:rPr>
            <w:rStyle w:val="Hyperlink"/>
            <w:rFonts w:ascii="Sylfaen" w:hAnsi="Sylfaen" w:cs="KFGQPC Uthman Taha Naskh"/>
            <w:sz w:val="40"/>
            <w:szCs w:val="40"/>
            <w:lang w:bidi="ar-EG"/>
          </w:rPr>
          <w:t xml:space="preserve"> </w:t>
        </w:r>
        <w:r w:rsidRPr="00E63BAB">
          <w:rPr>
            <w:rStyle w:val="Hyperlink"/>
            <w:rFonts w:ascii="Sylfaen" w:hAnsi="Sylfaen" w:cs="KFGQPC Uthman Taha Naskh"/>
            <w:sz w:val="40"/>
            <w:szCs w:val="40"/>
            <w:lang w:bidi="ar-EG"/>
          </w:rPr>
          <w:t xml:space="preserve">                    www.islamqa.info</w:t>
        </w:r>
        <w:r w:rsidRPr="00E63BAB">
          <w:rPr>
            <w:rStyle w:val="Hyperlink"/>
            <w:rFonts w:ascii="Sylfaen" w:hAnsi="Sylfaen" w:cs="KFGQPC Uthman Taha Naskh"/>
            <w:sz w:val="40"/>
            <w:szCs w:val="40"/>
            <w:lang w:bidi="ar-EG"/>
          </w:rPr>
          <w:t> </w:t>
        </w:r>
      </w:hyperlink>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F17ADE" w:rsidRDefault="00A03054" w:rsidP="00A03054">
      <w:pPr>
        <w:bidi w:val="0"/>
        <w:jc w:val="center"/>
        <w:rPr>
          <w:rFonts w:asciiTheme="majorBidi" w:hAnsiTheme="majorBidi" w:cstheme="majorBidi"/>
          <w:color w:val="006666"/>
          <w:sz w:val="40"/>
          <w:szCs w:val="40"/>
          <w:lang w:bidi="ar-EG"/>
        </w:rPr>
      </w:pPr>
    </w:p>
    <w:p w:rsidR="00A03054" w:rsidRPr="00F17ADE" w:rsidRDefault="005172B7" w:rsidP="00912D68">
      <w:pPr>
        <w:bidi w:val="0"/>
        <w:spacing w:after="0" w:line="240" w:lineRule="auto"/>
        <w:ind w:firstLine="113"/>
        <w:jc w:val="center"/>
        <w:rPr>
          <w:rFonts w:ascii="Sylfaen" w:hAnsi="Sylfaen" w:cstheme="majorBidi"/>
          <w:color w:val="205B83"/>
          <w:sz w:val="40"/>
          <w:szCs w:val="40"/>
          <w:lang w:val="ka-GE" w:bidi="ar-EG"/>
        </w:rPr>
      </w:pPr>
      <w:r w:rsidRPr="00F17ADE">
        <w:rPr>
          <w:rFonts w:ascii="Sylfaen" w:hAnsi="Sylfaen" w:cs="Sylfaen"/>
          <w:color w:val="205B83"/>
          <w:sz w:val="40"/>
          <w:szCs w:val="40"/>
          <w:lang w:val="ka-GE" w:bidi="ar-EG"/>
        </w:rPr>
        <w:t>მთარგმნელი</w:t>
      </w:r>
      <w:r w:rsidR="00A03054" w:rsidRPr="00F17ADE">
        <w:rPr>
          <w:rFonts w:asciiTheme="majorBidi" w:hAnsiTheme="majorBidi" w:cstheme="majorBidi"/>
          <w:color w:val="205B83"/>
          <w:sz w:val="40"/>
          <w:szCs w:val="40"/>
          <w:lang w:bidi="ar-EG"/>
        </w:rPr>
        <w:t xml:space="preserve">: </w:t>
      </w:r>
      <w:r w:rsidR="008B5743" w:rsidRPr="00F17ADE">
        <w:rPr>
          <w:rFonts w:ascii="Sylfaen" w:hAnsi="Sylfaen" w:cstheme="majorBidi"/>
          <w:sz w:val="40"/>
          <w:szCs w:val="40"/>
          <w:lang w:val="ka-GE" w:bidi="ar-EG"/>
        </w:rPr>
        <w:t>ნოდარ დავითაძე</w:t>
      </w:r>
    </w:p>
    <w:p w:rsidR="00912D68" w:rsidRPr="00F17ADE" w:rsidRDefault="008B5743" w:rsidP="00912D68">
      <w:pPr>
        <w:bidi w:val="0"/>
        <w:spacing w:after="0" w:line="240" w:lineRule="auto"/>
        <w:ind w:firstLine="113"/>
        <w:jc w:val="center"/>
        <w:rPr>
          <w:rFonts w:ascii="Sylfaen" w:hAnsi="Sylfaen" w:cstheme="majorBidi"/>
          <w:sz w:val="40"/>
          <w:szCs w:val="40"/>
          <w:lang w:val="ka-GE" w:bidi="ar-EG"/>
        </w:rPr>
      </w:pPr>
      <w:r w:rsidRPr="00F17ADE">
        <w:rPr>
          <w:rFonts w:ascii="Sylfaen" w:hAnsi="Sylfaen" w:cs="Sylfaen"/>
          <w:color w:val="205B83"/>
          <w:sz w:val="40"/>
          <w:szCs w:val="40"/>
          <w:lang w:val="ka-GE" w:bidi="ar-EG"/>
        </w:rPr>
        <w:t>რეფერატი</w:t>
      </w:r>
      <w:r w:rsidR="00A03054" w:rsidRPr="00F17ADE">
        <w:rPr>
          <w:rFonts w:asciiTheme="majorBidi" w:hAnsiTheme="majorBidi" w:cstheme="majorBidi"/>
          <w:color w:val="205B83"/>
          <w:sz w:val="40"/>
          <w:szCs w:val="40"/>
          <w:lang w:bidi="ar-EG"/>
        </w:rPr>
        <w:t>:</w:t>
      </w:r>
      <w:r w:rsidRPr="00F17ADE">
        <w:rPr>
          <w:rFonts w:ascii="Sylfaen" w:hAnsi="Sylfaen" w:cstheme="majorBidi"/>
          <w:sz w:val="40"/>
          <w:szCs w:val="4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F17ADE" w:rsidRDefault="00A03054" w:rsidP="00912D68">
      <w:pPr>
        <w:spacing w:after="0" w:line="240" w:lineRule="auto"/>
        <w:ind w:firstLine="113"/>
        <w:jc w:val="center"/>
        <w:rPr>
          <w:rFonts w:ascii="Traditional Arabic" w:hAnsi="Traditional Arabic" w:cs="Traditional Arabic"/>
          <w:sz w:val="48"/>
          <w:szCs w:val="48"/>
          <w:rtl/>
          <w:lang w:bidi="ar-EG"/>
        </w:rPr>
      </w:pPr>
      <w:r w:rsidRPr="00F17ADE">
        <w:rPr>
          <w:rFonts w:ascii="Traditional Arabic" w:hAnsi="Traditional Arabic" w:cs="Traditional Arabic"/>
          <w:b/>
          <w:bCs/>
          <w:sz w:val="48"/>
          <w:szCs w:val="48"/>
          <w:rtl/>
          <w:lang w:bidi="ar-EG"/>
        </w:rPr>
        <w:t>ترجمة:</w:t>
      </w:r>
      <w:r w:rsidR="008B5743" w:rsidRPr="00F17ADE">
        <w:rPr>
          <w:rFonts w:ascii="Traditional Arabic" w:hAnsi="Traditional Arabic" w:cs="Traditional Arabic"/>
          <w:b/>
          <w:bCs/>
          <w:sz w:val="48"/>
          <w:szCs w:val="48"/>
          <w:rtl/>
          <w:lang w:val="ka-GE" w:bidi="ar-EG"/>
        </w:rPr>
        <w:t>نودار (شعبان) داويتادز</w:t>
      </w:r>
      <w:r w:rsidRPr="00F17ADE">
        <w:rPr>
          <w:rFonts w:ascii="Traditional Arabic" w:hAnsi="Traditional Arabic" w:cs="Traditional Arabic"/>
          <w:b/>
          <w:bCs/>
          <w:sz w:val="48"/>
          <w:szCs w:val="48"/>
          <w:rtl/>
          <w:lang w:bidi="ar-EG"/>
        </w:rPr>
        <w:t xml:space="preserve"> </w:t>
      </w:r>
    </w:p>
    <w:p w:rsidR="008B3703" w:rsidRPr="00F17ADE" w:rsidRDefault="00A03054" w:rsidP="008B5743">
      <w:pPr>
        <w:spacing w:after="0" w:line="240" w:lineRule="auto"/>
        <w:ind w:firstLine="113"/>
        <w:jc w:val="center"/>
        <w:rPr>
          <w:rFonts w:ascii="Traditional Arabic" w:hAnsi="Traditional Arabic" w:cs="Traditional Arabic"/>
          <w:sz w:val="48"/>
          <w:szCs w:val="48"/>
          <w:lang w:bidi="ar-EG"/>
        </w:rPr>
        <w:sectPr w:rsidR="008B3703" w:rsidRPr="00F17ADE"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F17ADE">
        <w:rPr>
          <w:rFonts w:ascii="Traditional Arabic" w:hAnsi="Traditional Arabic" w:cs="Traditional Arabic"/>
          <w:b/>
          <w:bCs/>
          <w:sz w:val="48"/>
          <w:szCs w:val="48"/>
          <w:rtl/>
          <w:lang w:bidi="ar-EG"/>
        </w:rPr>
        <w:t xml:space="preserve">مراجعة: </w:t>
      </w:r>
      <w:r w:rsidR="00F17ADE">
        <w:rPr>
          <w:rFonts w:ascii="Traditional Arabic" w:hAnsi="Traditional Arabic" w:cs="Traditional Arabic" w:hint="cs"/>
          <w:sz w:val="48"/>
          <w:szCs w:val="48"/>
          <w:rtl/>
          <w:lang w:val="tr-TR"/>
        </w:rPr>
        <w:t>ف</w:t>
      </w:r>
      <w:r w:rsidR="008B5743" w:rsidRPr="00F17ADE">
        <w:rPr>
          <w:rFonts w:ascii="Traditional Arabic" w:hAnsi="Traditional Arabic" w:cs="Traditional Arabic"/>
          <w:sz w:val="48"/>
          <w:szCs w:val="48"/>
          <w:rtl/>
          <w:lang w:val="tr-TR"/>
        </w:rPr>
        <w:t>يصل</w:t>
      </w:r>
      <w:r w:rsidR="008B5743" w:rsidRPr="00F17ADE">
        <w:rPr>
          <w:rFonts w:ascii="Traditional Arabic" w:hAnsi="Traditional Arabic" w:cs="Traditional Arabic"/>
          <w:sz w:val="48"/>
          <w:szCs w:val="48"/>
          <w:lang w:val="tr-TR"/>
        </w:rPr>
        <w:t xml:space="preserve"> </w:t>
      </w:r>
      <w:r w:rsidR="008B5743" w:rsidRPr="00F17ADE">
        <w:rPr>
          <w:rFonts w:ascii="Traditional Arabic" w:hAnsi="Traditional Arabic" w:cs="Traditional Arabic"/>
          <w:sz w:val="48"/>
          <w:szCs w:val="48"/>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6A5AA9" w:rsidRPr="005612D0" w:rsidRDefault="005612D0" w:rsidP="005612D0">
      <w:pPr>
        <w:bidi w:val="0"/>
        <w:jc w:val="center"/>
        <w:rPr>
          <w:rFonts w:ascii="Sylfaen" w:hAnsi="Sylfaen" w:cstheme="majorBidi"/>
          <w:noProof/>
          <w:sz w:val="32"/>
          <w:szCs w:val="32"/>
          <w:lang w:val="ka-GE" w:eastAsia="tr-TR"/>
        </w:rPr>
      </w:pPr>
      <w:r>
        <w:rPr>
          <w:rFonts w:ascii="Sylfaen" w:hAnsi="Sylfaen" w:cstheme="majorBidi"/>
          <w:noProof/>
          <w:sz w:val="32"/>
          <w:szCs w:val="32"/>
          <w:lang w:val="ka-GE" w:eastAsia="tr-TR"/>
        </w:rPr>
        <w:t>რეღაიბის ღამის ბიდათი ნამაზი</w:t>
      </w: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lang w:bidi="ug-CN"/>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5612D0" w:rsidRDefault="00B51960" w:rsidP="00B51960">
      <w:pPr>
        <w:bidi w:val="0"/>
        <w:ind w:firstLine="720"/>
        <w:jc w:val="both"/>
        <w:rPr>
          <w:rFonts w:ascii="Sylfaen" w:hAnsi="Sylfaen" w:cstheme="majorBidi"/>
          <w:sz w:val="24"/>
          <w:szCs w:val="24"/>
          <w:lang w:val="ka-GE" w:bidi="ar-EG"/>
        </w:rPr>
      </w:pPr>
      <w:r>
        <w:rPr>
          <w:rFonts w:ascii="Sylfaen" w:hAnsi="Sylfaen" w:cstheme="majorBidi"/>
          <w:sz w:val="24"/>
          <w:szCs w:val="24"/>
          <w:lang w:val="ka-GE" w:bidi="ar-EG"/>
        </w:rPr>
        <w:tab/>
      </w:r>
    </w:p>
    <w:p w:rsidR="005612D0" w:rsidRPr="00F52025" w:rsidRDefault="005612D0" w:rsidP="005612D0">
      <w:pPr>
        <w:bidi w:val="0"/>
        <w:ind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კითხვა:</w:t>
      </w:r>
      <w:r w:rsidRPr="00F52025">
        <w:rPr>
          <w:rFonts w:ascii="Sylfaen" w:hAnsi="Sylfaen" w:cstheme="majorBidi"/>
          <w:sz w:val="36"/>
          <w:szCs w:val="36"/>
          <w:lang w:val="ka-GE" w:bidi="ar-EG"/>
        </w:rPr>
        <w:t xml:space="preserve"> რეღაიბის ღამის ნამაზი სუნნეთი ნამაზია?</w:t>
      </w:r>
    </w:p>
    <w:p w:rsidR="005612D0" w:rsidRPr="00F52025" w:rsidRDefault="005612D0" w:rsidP="005612D0">
      <w:pPr>
        <w:bidi w:val="0"/>
        <w:ind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პასუხი:</w:t>
      </w:r>
      <w:r w:rsidRPr="00F52025">
        <w:rPr>
          <w:rFonts w:ascii="Sylfaen" w:hAnsi="Sylfaen" w:cstheme="majorBidi"/>
          <w:sz w:val="36"/>
          <w:szCs w:val="36"/>
          <w:lang w:val="ka-GE" w:bidi="ar-EG"/>
        </w:rPr>
        <w:t xml:space="preserve"> დიდება ალლაჰს.</w:t>
      </w:r>
    </w:p>
    <w:p w:rsidR="00447180" w:rsidRPr="00F52025" w:rsidRDefault="005612D0" w:rsidP="005612D0">
      <w:pPr>
        <w:bidi w:val="0"/>
        <w:ind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რეღაიბის ნამაზი, ისლამში შემდგომ გამოგონილი ბიდათია, რომელსაც რეჯების მთვარის პირველ ჯუმა ღამეს</w:t>
      </w:r>
      <w:r w:rsidR="0015465C" w:rsidRPr="00F52025">
        <w:rPr>
          <w:rFonts w:ascii="Sylfaen" w:hAnsi="Sylfaen" w:cstheme="majorBidi"/>
          <w:sz w:val="36"/>
          <w:szCs w:val="36"/>
          <w:lang w:val="ka-GE" w:bidi="ar-EG"/>
        </w:rPr>
        <w:t>,</w:t>
      </w:r>
      <w:r w:rsidRPr="00F52025">
        <w:rPr>
          <w:rFonts w:ascii="Sylfaen" w:hAnsi="Sylfaen" w:cstheme="majorBidi"/>
          <w:sz w:val="36"/>
          <w:szCs w:val="36"/>
          <w:lang w:val="ka-GE" w:bidi="ar-EG"/>
        </w:rPr>
        <w:t xml:space="preserve"> საღამოს ნამაზსა და ღამის ნამაზს შორის ლოცულობენ. </w:t>
      </w:r>
      <w:r w:rsidR="00447180" w:rsidRPr="00F52025">
        <w:rPr>
          <w:rFonts w:ascii="Sylfaen" w:hAnsi="Sylfaen" w:cstheme="majorBidi"/>
          <w:sz w:val="36"/>
          <w:szCs w:val="36"/>
          <w:lang w:val="ka-GE" w:bidi="ar-EG"/>
        </w:rPr>
        <w:t>ამ ნამაზს თან უსწრებს რეჯების მთვარის პირველი ხუთშაბათის მარხვაში გატარება.</w:t>
      </w:r>
    </w:p>
    <w:p w:rsidR="00447180" w:rsidRPr="00F52025" w:rsidRDefault="00447180" w:rsidP="0015465C">
      <w:pPr>
        <w:bidi w:val="0"/>
        <w:ind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 xml:space="preserve">რეღაიბის ნამაზი, პირველად ჰიჯრით 480 წელს „ბეითულ-მაყდის“-ში (იერუსალიმი) გამოიგონეს. ამგვარი ღვთისმსახურების შესახებ არც </w:t>
      </w:r>
      <w:r w:rsidR="0015465C" w:rsidRPr="00F52025">
        <w:rPr>
          <w:rFonts w:ascii="Sylfaen" w:hAnsi="Sylfaen" w:cstheme="majorBidi"/>
          <w:sz w:val="36"/>
          <w:szCs w:val="36"/>
          <w:lang w:val="ka-GE" w:bidi="ar-EG"/>
        </w:rPr>
        <w:t>შ</w:t>
      </w:r>
      <w:r w:rsidRPr="00F52025">
        <w:rPr>
          <w:rFonts w:ascii="Sylfaen" w:hAnsi="Sylfaen" w:cstheme="majorBidi"/>
          <w:sz w:val="36"/>
          <w:szCs w:val="36"/>
          <w:lang w:val="ka-GE" w:bidi="ar-EG"/>
        </w:rPr>
        <w:t xml:space="preserve">უამავლისგან, არც მისი საჰაბეებისგან, არც პირველი სამი თაობისგან და არც მეზჰების იმამებისგან არ არის გადმოცემული. იმის დასამტკიცებლად, რომ რეღაიბის ნამაზი ცუდი ბიდათია და ის არ არის სუნნეთი, შემდეგი </w:t>
      </w:r>
      <w:r w:rsidR="0015465C" w:rsidRPr="00F52025">
        <w:rPr>
          <w:rFonts w:ascii="Sylfaen" w:hAnsi="Sylfaen" w:cstheme="majorBidi"/>
          <w:sz w:val="36"/>
          <w:szCs w:val="36"/>
          <w:lang w:val="ka-GE" w:bidi="ar-EG"/>
        </w:rPr>
        <w:t>გადმოცემ</w:t>
      </w:r>
      <w:r w:rsidRPr="00F52025">
        <w:rPr>
          <w:rFonts w:ascii="Sylfaen" w:hAnsi="Sylfaen" w:cstheme="majorBidi"/>
          <w:sz w:val="36"/>
          <w:szCs w:val="36"/>
          <w:lang w:val="ka-GE" w:bidi="ar-EG"/>
        </w:rPr>
        <w:t>ებიც საკმარისია:</w:t>
      </w:r>
    </w:p>
    <w:p w:rsidR="00447180" w:rsidRPr="00F52025" w:rsidRDefault="00447180" w:rsidP="00447180">
      <w:pPr>
        <w:bidi w:val="0"/>
        <w:ind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ისლამის სწავლულები ხალხს ამ ნამაზისგან თავის შორს დაჭერას ურჩევდნენ და ამბობდნენ, რომ ეს იყო გზას ამცდენი ბიდათი.</w:t>
      </w:r>
    </w:p>
    <w:p w:rsidR="00447180" w:rsidRPr="00F52025" w:rsidRDefault="00447180" w:rsidP="00447180">
      <w:pPr>
        <w:bidi w:val="0"/>
        <w:ind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მაგალითად იმამი ნავავი (რჰ.ა.) ასე ამბობს:</w:t>
      </w:r>
    </w:p>
    <w:p w:rsidR="003C74CF" w:rsidRPr="00F52025" w:rsidRDefault="00447180" w:rsidP="0015465C">
      <w:pPr>
        <w:bidi w:val="0"/>
        <w:ind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 xml:space="preserve">„რეღაიბის ნამაზი, რომელსაც რეჯების მთვარის პირველ ჯუმა ღამეს, საღამოს ნამაზსა და ღამის ნამაზს </w:t>
      </w:r>
      <w:r w:rsidRPr="00F52025">
        <w:rPr>
          <w:rFonts w:ascii="Sylfaen" w:hAnsi="Sylfaen" w:cstheme="majorBidi"/>
          <w:b/>
          <w:bCs/>
          <w:sz w:val="36"/>
          <w:szCs w:val="36"/>
          <w:lang w:val="ka-GE" w:bidi="ar-EG"/>
        </w:rPr>
        <w:lastRenderedPageBreak/>
        <w:t>შორის 12 მუხლად ლოცულობენ და შაღბანის მთვარეში 100 მუხლად შესრულებული ნამაზი, ორივე ცუდი ბიდათ</w:t>
      </w:r>
      <w:r w:rsidR="003C74CF" w:rsidRPr="00F52025">
        <w:rPr>
          <w:rFonts w:ascii="Sylfaen" w:hAnsi="Sylfaen" w:cstheme="majorBidi"/>
          <w:b/>
          <w:bCs/>
          <w:sz w:val="36"/>
          <w:szCs w:val="36"/>
          <w:lang w:val="ka-GE" w:bidi="ar-EG"/>
        </w:rPr>
        <w:t>ი ნამაზ</w:t>
      </w:r>
      <w:r w:rsidRPr="00F52025">
        <w:rPr>
          <w:rFonts w:ascii="Sylfaen" w:hAnsi="Sylfaen" w:cstheme="majorBidi"/>
          <w:b/>
          <w:bCs/>
          <w:sz w:val="36"/>
          <w:szCs w:val="36"/>
          <w:lang w:val="ka-GE" w:bidi="ar-EG"/>
        </w:rPr>
        <w:t xml:space="preserve">ებია. </w:t>
      </w:r>
      <w:r w:rsidR="003C74CF" w:rsidRPr="00F52025">
        <w:rPr>
          <w:rFonts w:ascii="Sylfaen" w:hAnsi="Sylfaen" w:cstheme="majorBidi"/>
          <w:b/>
          <w:bCs/>
          <w:sz w:val="36"/>
          <w:szCs w:val="36"/>
          <w:lang w:val="ka-GE" w:bidi="ar-EG"/>
        </w:rPr>
        <w:t>ამ ორი ნამაზის შესახებ</w:t>
      </w:r>
      <w:r w:rsidR="0015465C" w:rsidRPr="00F52025">
        <w:rPr>
          <w:rFonts w:ascii="Sylfaen" w:hAnsi="Sylfaen" w:cstheme="majorBidi"/>
          <w:b/>
          <w:bCs/>
          <w:sz w:val="36"/>
          <w:szCs w:val="36"/>
          <w:lang w:val="ka-GE" w:bidi="ar-EG"/>
        </w:rPr>
        <w:t xml:space="preserve"> არ უნდა მოვტყუვდეთ</w:t>
      </w:r>
      <w:r w:rsidR="003C74CF" w:rsidRPr="00F52025">
        <w:rPr>
          <w:rFonts w:ascii="Sylfaen" w:hAnsi="Sylfaen" w:cstheme="majorBidi"/>
          <w:b/>
          <w:bCs/>
          <w:sz w:val="36"/>
          <w:szCs w:val="36"/>
          <w:lang w:val="ka-GE" w:bidi="ar-EG"/>
        </w:rPr>
        <w:t xml:space="preserve"> „ყუთუ’ლ-ყულუბ“ </w:t>
      </w:r>
      <w:r w:rsidR="003C74CF" w:rsidRPr="00F52025">
        <w:rPr>
          <w:rFonts w:ascii="Sylfaen" w:hAnsi="Sylfaen" w:cstheme="majorBidi"/>
          <w:sz w:val="36"/>
          <w:szCs w:val="36"/>
          <w:lang w:val="ka-GE" w:bidi="ar-EG"/>
        </w:rPr>
        <w:t>(გულების საზრდო)</w:t>
      </w:r>
      <w:r w:rsidR="003C74CF" w:rsidRPr="00F52025">
        <w:rPr>
          <w:rFonts w:ascii="Sylfaen" w:hAnsi="Sylfaen" w:cstheme="majorBidi"/>
          <w:b/>
          <w:bCs/>
          <w:sz w:val="36"/>
          <w:szCs w:val="36"/>
          <w:lang w:val="ka-GE" w:bidi="ar-EG"/>
        </w:rPr>
        <w:t xml:space="preserve"> და „იჰიაუ ულუმი’დ-ინ“</w:t>
      </w:r>
      <w:r w:rsidR="003C74CF" w:rsidRPr="00F52025">
        <w:rPr>
          <w:rFonts w:ascii="Sylfaen" w:hAnsi="Sylfaen" w:cstheme="majorBidi"/>
          <w:sz w:val="36"/>
          <w:szCs w:val="36"/>
          <w:lang w:val="ka-GE" w:bidi="ar-EG"/>
        </w:rPr>
        <w:t xml:space="preserve"> (რელიგიური მეცნიერებების გამოცოცხლება)</w:t>
      </w:r>
      <w:r w:rsidR="003C74CF" w:rsidRPr="00F52025">
        <w:rPr>
          <w:rFonts w:ascii="Sylfaen" w:hAnsi="Sylfaen" w:cstheme="majorBidi"/>
          <w:b/>
          <w:bCs/>
          <w:sz w:val="36"/>
          <w:szCs w:val="36"/>
          <w:lang w:val="ka-GE" w:bidi="ar-EG"/>
        </w:rPr>
        <w:t xml:space="preserve"> სახელობის წიგნებში რაც წერია და რა ჰადისებიცაა მოყვანილი. რადგანაც ეს ყველაფერი ბათილია. ასევე არ უნდა მოვტყუვდეთ იმას, რომ ზოგიერთმა იმამებ</w:t>
      </w:r>
      <w:r w:rsidR="0015465C" w:rsidRPr="00F52025">
        <w:rPr>
          <w:rFonts w:ascii="Sylfaen" w:hAnsi="Sylfaen" w:cstheme="majorBidi"/>
          <w:b/>
          <w:bCs/>
          <w:sz w:val="36"/>
          <w:szCs w:val="36"/>
          <w:lang w:val="ka-GE" w:bidi="ar-EG"/>
        </w:rPr>
        <w:t>ის</w:t>
      </w:r>
      <w:r w:rsidR="003C74CF" w:rsidRPr="00F52025">
        <w:rPr>
          <w:rFonts w:ascii="Sylfaen" w:hAnsi="Sylfaen" w:cstheme="majorBidi"/>
          <w:b/>
          <w:bCs/>
          <w:sz w:val="36"/>
          <w:szCs w:val="36"/>
          <w:lang w:val="ka-GE" w:bidi="ar-EG"/>
        </w:rPr>
        <w:t xml:space="preserve"> </w:t>
      </w:r>
      <w:r w:rsidR="0015465C" w:rsidRPr="00F52025">
        <w:rPr>
          <w:rFonts w:ascii="Sylfaen" w:hAnsi="Sylfaen" w:cstheme="majorBidi"/>
          <w:b/>
          <w:bCs/>
          <w:sz w:val="36"/>
          <w:szCs w:val="36"/>
          <w:lang w:val="ka-GE" w:bidi="ar-EG"/>
        </w:rPr>
        <w:t>ჩანაწერებს</w:t>
      </w:r>
      <w:r w:rsidR="003C74CF" w:rsidRPr="00F52025">
        <w:rPr>
          <w:rFonts w:ascii="Sylfaen" w:hAnsi="Sylfaen" w:cstheme="majorBidi"/>
          <w:b/>
          <w:bCs/>
          <w:sz w:val="36"/>
          <w:szCs w:val="36"/>
          <w:lang w:val="ka-GE" w:bidi="ar-EG"/>
        </w:rPr>
        <w:t xml:space="preserve">, </w:t>
      </w:r>
      <w:r w:rsidR="0015465C" w:rsidRPr="00F52025">
        <w:rPr>
          <w:rFonts w:ascii="Sylfaen" w:hAnsi="Sylfaen" w:cstheme="majorBidi"/>
          <w:b/>
          <w:bCs/>
          <w:sz w:val="36"/>
          <w:szCs w:val="36"/>
          <w:lang w:val="ka-GE" w:bidi="ar-EG"/>
        </w:rPr>
        <w:t>რომლებმაც ჰადისის სანდოობაში შეცდნენ და</w:t>
      </w:r>
      <w:r w:rsidR="003C74CF" w:rsidRPr="00F52025">
        <w:rPr>
          <w:rFonts w:ascii="Sylfaen" w:hAnsi="Sylfaen" w:cstheme="majorBidi"/>
          <w:b/>
          <w:bCs/>
          <w:sz w:val="36"/>
          <w:szCs w:val="36"/>
          <w:lang w:val="ka-GE" w:bidi="ar-EG"/>
        </w:rPr>
        <w:t xml:space="preserve"> ეს ნამაზი მუსთეჰაბ</w:t>
      </w:r>
      <w:r w:rsidR="0015465C" w:rsidRPr="00F52025">
        <w:rPr>
          <w:rFonts w:ascii="Sylfaen" w:hAnsi="Sylfaen" w:cstheme="majorBidi"/>
          <w:b/>
          <w:bCs/>
          <w:sz w:val="36"/>
          <w:szCs w:val="36"/>
          <w:lang w:val="ka-GE" w:bidi="ar-EG"/>
        </w:rPr>
        <w:t>ად სცნეს</w:t>
      </w:r>
      <w:r w:rsidR="003C74CF" w:rsidRPr="00F52025">
        <w:rPr>
          <w:rFonts w:ascii="Sylfaen" w:hAnsi="Sylfaen" w:cstheme="majorBidi"/>
          <w:b/>
          <w:bCs/>
          <w:sz w:val="36"/>
          <w:szCs w:val="36"/>
          <w:lang w:val="ka-GE" w:bidi="ar-EG"/>
        </w:rPr>
        <w:t>. რადგანაც ის იმამები, ვინც ასე ამბობენ</w:t>
      </w:r>
      <w:r w:rsidR="0015465C" w:rsidRPr="00F52025">
        <w:rPr>
          <w:rFonts w:ascii="Sylfaen" w:hAnsi="Sylfaen" w:cstheme="majorBidi"/>
          <w:b/>
          <w:bCs/>
          <w:sz w:val="36"/>
          <w:szCs w:val="36"/>
          <w:lang w:val="ka-GE" w:bidi="ar-EG"/>
        </w:rPr>
        <w:t>,</w:t>
      </w:r>
      <w:r w:rsidR="003C74CF" w:rsidRPr="00F52025">
        <w:rPr>
          <w:rFonts w:ascii="Sylfaen" w:hAnsi="Sylfaen" w:cstheme="majorBidi"/>
          <w:b/>
          <w:bCs/>
          <w:sz w:val="36"/>
          <w:szCs w:val="36"/>
          <w:lang w:val="ka-GE" w:bidi="ar-EG"/>
        </w:rPr>
        <w:t xml:space="preserve"> ამ საკითხში ცდებიან. იმამ აბუ მუჰამმედ აბდურრაჰმან ბინ ისმაილ ალ-მაყდისიმ ამ ნამაზის ბათილობის შესახებ წიგნი დაწერა და ეს საკითხები ძალიან კარგად განიხილა. უზენაესი ალლაჰი კმაყოფილი იყოს მისგან.“</w:t>
      </w:r>
      <w:r w:rsidR="003C74CF" w:rsidRPr="00F52025">
        <w:rPr>
          <w:rStyle w:val="FootnoteReference"/>
          <w:rFonts w:ascii="Sylfaen" w:hAnsi="Sylfaen" w:cstheme="majorBidi"/>
          <w:b/>
          <w:bCs/>
          <w:sz w:val="36"/>
          <w:szCs w:val="36"/>
          <w:lang w:val="ka-GE" w:bidi="ar-EG"/>
        </w:rPr>
        <w:footnoteReference w:id="1"/>
      </w:r>
    </w:p>
    <w:p w:rsidR="003C74CF" w:rsidRPr="00F52025" w:rsidRDefault="003C74CF" w:rsidP="003C74CF">
      <w:pPr>
        <w:bidi w:val="0"/>
        <w:ind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ასევე იმამი ნავავი (რჰ.ა.) საჰიჰი მუსლიმის განმარტებაში ასე წერს:</w:t>
      </w:r>
    </w:p>
    <w:p w:rsidR="00EC78D3" w:rsidRPr="00F52025" w:rsidRDefault="00EC78D3" w:rsidP="0015465C">
      <w:pPr>
        <w:bidi w:val="0"/>
        <w:ind w:left="720"/>
        <w:jc w:val="both"/>
        <w:rPr>
          <w:rFonts w:ascii="Sylfaen" w:hAnsi="Sylfaen" w:cstheme="majorBidi"/>
          <w:sz w:val="36"/>
          <w:szCs w:val="36"/>
          <w:lang w:val="ka-GE" w:bidi="ar-EG"/>
        </w:rPr>
      </w:pPr>
      <w:r w:rsidRPr="00F52025">
        <w:rPr>
          <w:rFonts w:ascii="Sylfaen" w:hAnsi="Sylfaen" w:cstheme="majorBidi"/>
          <w:b/>
          <w:bCs/>
          <w:sz w:val="36"/>
          <w:szCs w:val="36"/>
          <w:lang w:val="ka-GE" w:bidi="ar-EG"/>
        </w:rPr>
        <w:t xml:space="preserve">„ალლაჰმა დასწყევლოს ის, ვინც ეს ბიდათი </w:t>
      </w:r>
      <w:r w:rsidRPr="00F52025">
        <w:rPr>
          <w:rFonts w:ascii="Sylfaen" w:hAnsi="Sylfaen" w:cstheme="majorBidi"/>
          <w:sz w:val="36"/>
          <w:szCs w:val="36"/>
          <w:lang w:val="ka-GE" w:bidi="ar-EG"/>
        </w:rPr>
        <w:t>(რეღაიბის ნამაზი)</w:t>
      </w:r>
      <w:r w:rsidRPr="00F52025">
        <w:rPr>
          <w:rFonts w:ascii="Sylfaen" w:hAnsi="Sylfaen" w:cstheme="majorBidi"/>
          <w:b/>
          <w:bCs/>
          <w:sz w:val="36"/>
          <w:szCs w:val="36"/>
          <w:lang w:val="ka-GE" w:bidi="ar-EG"/>
        </w:rPr>
        <w:t xml:space="preserve"> გამოიგონა. ეს ნამაზი, გზასაცდენილობად და უვიცობად ითვლება, რომელიც ცუდ ბიდათებს მიეკუთვნება. ამ ბიდათი</w:t>
      </w:r>
      <w:r w:rsidR="0015465C" w:rsidRPr="00F52025">
        <w:rPr>
          <w:rFonts w:ascii="Sylfaen" w:hAnsi="Sylfaen" w:cstheme="majorBidi"/>
          <w:b/>
          <w:bCs/>
          <w:sz w:val="36"/>
          <w:szCs w:val="36"/>
          <w:lang w:val="ka-GE" w:bidi="ar-EG"/>
        </w:rPr>
        <w:t>ს</w:t>
      </w:r>
      <w:r w:rsidRPr="00F52025">
        <w:rPr>
          <w:rFonts w:ascii="Sylfaen" w:hAnsi="Sylfaen" w:cstheme="majorBidi"/>
          <w:b/>
          <w:bCs/>
          <w:sz w:val="36"/>
          <w:szCs w:val="36"/>
          <w:lang w:val="ka-GE" w:bidi="ar-EG"/>
        </w:rPr>
        <w:t xml:space="preserve"> ცუდობა ღია და ცხადია. ძალიან ბევ</w:t>
      </w:r>
      <w:r w:rsidR="0015465C" w:rsidRPr="00F52025">
        <w:rPr>
          <w:rFonts w:ascii="Sylfaen" w:hAnsi="Sylfaen" w:cstheme="majorBidi"/>
          <w:b/>
          <w:bCs/>
          <w:sz w:val="36"/>
          <w:szCs w:val="36"/>
          <w:lang w:val="ka-GE" w:bidi="ar-EG"/>
        </w:rPr>
        <w:t>რ</w:t>
      </w:r>
      <w:r w:rsidRPr="00F52025">
        <w:rPr>
          <w:rFonts w:ascii="Sylfaen" w:hAnsi="Sylfaen" w:cstheme="majorBidi"/>
          <w:b/>
          <w:bCs/>
          <w:sz w:val="36"/>
          <w:szCs w:val="36"/>
          <w:lang w:val="ka-GE" w:bidi="ar-EG"/>
        </w:rPr>
        <w:t xml:space="preserve"> სწავლულს</w:t>
      </w:r>
      <w:r w:rsidR="0015465C" w:rsidRPr="00F52025">
        <w:rPr>
          <w:rFonts w:ascii="Sylfaen" w:hAnsi="Sylfaen" w:cstheme="majorBidi"/>
          <w:b/>
          <w:bCs/>
          <w:sz w:val="36"/>
          <w:szCs w:val="36"/>
          <w:lang w:val="ka-GE" w:bidi="ar-EG"/>
        </w:rPr>
        <w:t>,</w:t>
      </w:r>
      <w:r w:rsidRPr="00F52025">
        <w:rPr>
          <w:rFonts w:ascii="Sylfaen" w:hAnsi="Sylfaen" w:cstheme="majorBidi"/>
          <w:b/>
          <w:bCs/>
          <w:sz w:val="36"/>
          <w:szCs w:val="36"/>
          <w:lang w:val="ka-GE" w:bidi="ar-EG"/>
        </w:rPr>
        <w:t xml:space="preserve"> ამ ბიდათის ცუდობის, ბათილობისა და ამ ნამაზის მლოცველთა გზასაცდენილობის შესახებ უთვალავი წიგნები დაუწერიათ.“</w:t>
      </w:r>
    </w:p>
    <w:p w:rsidR="00EC78D3" w:rsidRPr="00F52025" w:rsidRDefault="00EC78D3" w:rsidP="00EC78D3">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იბნი აბიდიინიც (რჰ.ა.) ჰაშიეში ასე ამბობს:</w:t>
      </w:r>
    </w:p>
    <w:p w:rsidR="00EC78D3" w:rsidRPr="00F52025" w:rsidRDefault="00EC78D3" w:rsidP="00EC78D3">
      <w:pPr>
        <w:bidi w:val="0"/>
        <w:ind w:left="720" w:firstLine="720"/>
        <w:jc w:val="both"/>
        <w:rPr>
          <w:rFonts w:ascii="Sylfaen" w:hAnsi="Sylfaen" w:cstheme="majorBidi"/>
          <w:b/>
          <w:bCs/>
          <w:sz w:val="36"/>
          <w:szCs w:val="36"/>
          <w:lang w:val="ka-GE" w:bidi="ar-EG"/>
        </w:rPr>
      </w:pPr>
      <w:r w:rsidRPr="00F52025">
        <w:rPr>
          <w:rFonts w:ascii="Sylfaen" w:hAnsi="Sylfaen" w:cstheme="majorBidi"/>
          <w:b/>
          <w:bCs/>
          <w:sz w:val="36"/>
          <w:szCs w:val="36"/>
          <w:lang w:val="ka-GE" w:bidi="ar-EG"/>
        </w:rPr>
        <w:lastRenderedPageBreak/>
        <w:t>„ალ-ბაჰრუ’რ-რაიყ სახელობის წიგნის ავტორი ასე ამბობს:</w:t>
      </w:r>
    </w:p>
    <w:p w:rsidR="00EC78D3" w:rsidRPr="00F52025" w:rsidRDefault="00EC78D3" w:rsidP="00EC78D3">
      <w:pPr>
        <w:bidi w:val="0"/>
        <w:ind w:left="720" w:firstLine="720"/>
        <w:jc w:val="both"/>
        <w:rPr>
          <w:rFonts w:ascii="Sylfaen" w:hAnsi="Sylfaen" w:cstheme="majorBidi"/>
          <w:b/>
          <w:bCs/>
          <w:sz w:val="36"/>
          <w:szCs w:val="36"/>
          <w:lang w:val="ka-GE" w:bidi="ar-EG"/>
        </w:rPr>
      </w:pPr>
      <w:r w:rsidRPr="00F52025">
        <w:rPr>
          <w:rFonts w:ascii="Sylfaen" w:hAnsi="Sylfaen" w:cstheme="majorBidi"/>
          <w:b/>
          <w:bCs/>
          <w:sz w:val="36"/>
          <w:szCs w:val="36"/>
          <w:lang w:val="ka-GE" w:bidi="ar-EG"/>
        </w:rPr>
        <w:t>...ამგვარად ვგებულობთ, რომ რეჯების მთვარის პირველ ჯუმა ღამეს დაწესებული რეღაიბის ნამაზისთვის შეკრება მოუწონარი და ბიდათი საქმეა...</w:t>
      </w:r>
    </w:p>
    <w:p w:rsidR="00EF489A" w:rsidRPr="00F52025" w:rsidRDefault="00EC78D3" w:rsidP="00EC78D3">
      <w:pPr>
        <w:bidi w:val="0"/>
        <w:ind w:left="720"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ერთერთ დიდ სწავლულს ნურედდინ ალ-მაყდისის</w:t>
      </w:r>
      <w:r w:rsidR="0015465C" w:rsidRPr="00F52025">
        <w:rPr>
          <w:rFonts w:ascii="Sylfaen" w:hAnsi="Sylfaen" w:cstheme="majorBidi"/>
          <w:b/>
          <w:bCs/>
          <w:sz w:val="36"/>
          <w:szCs w:val="36"/>
          <w:lang w:val="ka-GE" w:bidi="ar-EG"/>
        </w:rPr>
        <w:t>,</w:t>
      </w:r>
      <w:r w:rsidRPr="00F52025">
        <w:rPr>
          <w:rFonts w:ascii="Sylfaen" w:hAnsi="Sylfaen" w:cstheme="majorBidi"/>
          <w:b/>
          <w:bCs/>
          <w:sz w:val="36"/>
          <w:szCs w:val="36"/>
          <w:lang w:val="ka-GE" w:bidi="ar-EG"/>
        </w:rPr>
        <w:t xml:space="preserve"> ამ ბიდათის შესახებ წიგნი აქვს დაწერილი, სახელად „</w:t>
      </w:r>
      <w:r w:rsidR="0015465C" w:rsidRPr="00F52025">
        <w:rPr>
          <w:rFonts w:ascii="Sylfaen" w:hAnsi="Sylfaen" w:cstheme="majorBidi"/>
          <w:b/>
          <w:bCs/>
          <w:sz w:val="36"/>
          <w:szCs w:val="36"/>
          <w:lang w:val="ka-GE" w:bidi="ar-EG"/>
        </w:rPr>
        <w:t>რ</w:t>
      </w:r>
      <w:r w:rsidRPr="00F52025">
        <w:rPr>
          <w:rFonts w:ascii="Sylfaen" w:hAnsi="Sylfaen" w:cstheme="majorBidi"/>
          <w:b/>
          <w:bCs/>
          <w:sz w:val="36"/>
          <w:szCs w:val="36"/>
          <w:lang w:val="ka-GE" w:bidi="ar-EG"/>
        </w:rPr>
        <w:t xml:space="preserve">ედ’უ’რ-აღიბ </w:t>
      </w:r>
      <w:r w:rsidR="0015465C" w:rsidRPr="00F52025">
        <w:rPr>
          <w:rFonts w:ascii="Sylfaen" w:hAnsi="Sylfaen" w:cstheme="majorBidi"/>
          <w:b/>
          <w:bCs/>
          <w:sz w:val="36"/>
          <w:szCs w:val="36"/>
          <w:lang w:val="ka-GE" w:bidi="ar-EG"/>
        </w:rPr>
        <w:t>‘</w:t>
      </w:r>
      <w:r w:rsidRPr="00F52025">
        <w:rPr>
          <w:rFonts w:ascii="Sylfaen" w:hAnsi="Sylfaen" w:cstheme="majorBidi"/>
          <w:b/>
          <w:bCs/>
          <w:sz w:val="36"/>
          <w:szCs w:val="36"/>
          <w:lang w:val="ka-GE" w:bidi="ar-EG"/>
        </w:rPr>
        <w:t>ან სალათი’რ-რეღაიბ“. წიგნის ავტორს ამ ნაშრომში ოთხი მეზჰების ძველი და ახალი სწავლულების შეხედულებები დეტალურად აქვს მოყვანილი.“</w:t>
      </w:r>
      <w:r w:rsidRPr="00F52025">
        <w:rPr>
          <w:rStyle w:val="FootnoteReference"/>
          <w:rFonts w:ascii="Sylfaen" w:hAnsi="Sylfaen" w:cstheme="majorBidi"/>
          <w:b/>
          <w:bCs/>
          <w:sz w:val="36"/>
          <w:szCs w:val="36"/>
          <w:lang w:val="ka-GE" w:bidi="ar-EG"/>
        </w:rPr>
        <w:footnoteReference w:id="2"/>
      </w:r>
    </w:p>
    <w:p w:rsidR="00EF489A" w:rsidRPr="00F52025" w:rsidRDefault="00EF489A" w:rsidP="00EF489A">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იბნი ჰაჯერ ალ-ჰეისემი</w:t>
      </w:r>
      <w:r w:rsidR="008F528B" w:rsidRPr="00F52025">
        <w:rPr>
          <w:rFonts w:ascii="Sylfaen" w:hAnsi="Sylfaen" w:cstheme="majorBidi"/>
          <w:sz w:val="36"/>
          <w:szCs w:val="36"/>
          <w:lang w:val="ka-GE" w:bidi="ar-EG"/>
        </w:rPr>
        <w:t>ს</w:t>
      </w:r>
      <w:r w:rsidRPr="00F52025">
        <w:rPr>
          <w:rFonts w:ascii="Sylfaen" w:hAnsi="Sylfaen" w:cstheme="majorBidi"/>
          <w:sz w:val="36"/>
          <w:szCs w:val="36"/>
          <w:lang w:val="ka-GE" w:bidi="ar-EG"/>
        </w:rPr>
        <w:t xml:space="preserve"> (რჰ.ა.)</w:t>
      </w:r>
      <w:r w:rsidR="008F528B" w:rsidRPr="00F52025">
        <w:rPr>
          <w:rFonts w:ascii="Sylfaen" w:hAnsi="Sylfaen" w:cstheme="majorBidi"/>
          <w:sz w:val="36"/>
          <w:szCs w:val="36"/>
          <w:lang w:val="ka-GE" w:bidi="ar-EG"/>
        </w:rPr>
        <w:t xml:space="preserve"> კითხეს</w:t>
      </w:r>
      <w:r w:rsidRPr="00F52025">
        <w:rPr>
          <w:rFonts w:ascii="Sylfaen" w:hAnsi="Sylfaen" w:cstheme="majorBidi"/>
          <w:sz w:val="36"/>
          <w:szCs w:val="36"/>
          <w:lang w:val="ka-GE" w:bidi="ar-EG"/>
        </w:rPr>
        <w:t>:</w:t>
      </w:r>
    </w:p>
    <w:p w:rsidR="008F528B" w:rsidRPr="00F52025" w:rsidRDefault="00EF489A" w:rsidP="00EF489A">
      <w:pPr>
        <w:bidi w:val="0"/>
        <w:ind w:left="720"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w:t>
      </w:r>
      <w:r w:rsidR="008F528B" w:rsidRPr="00F52025">
        <w:rPr>
          <w:rFonts w:ascii="Sylfaen" w:hAnsi="Sylfaen" w:cstheme="majorBidi"/>
          <w:b/>
          <w:bCs/>
          <w:sz w:val="36"/>
          <w:szCs w:val="36"/>
          <w:lang w:val="ka-GE" w:bidi="ar-EG"/>
        </w:rPr>
        <w:t>რეღაიბის ნამაზის ჯამაათით ლოცვა ნებადართულია თუ არა?“</w:t>
      </w:r>
    </w:p>
    <w:p w:rsidR="008F528B" w:rsidRPr="00F52025" w:rsidRDefault="008F528B" w:rsidP="008F528B">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მან ამ კითხვას ასე უპასუხა:</w:t>
      </w:r>
    </w:p>
    <w:p w:rsidR="00434012" w:rsidRPr="00F52025" w:rsidRDefault="008F528B" w:rsidP="008F528B">
      <w:pPr>
        <w:bidi w:val="0"/>
        <w:ind w:left="720"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 xml:space="preserve">„...რაც შეეხება რეღაიბის ნამაზეს, ეს ისეთივე ნამაზია, როგორც ყველასათვის ცნობილი შაღბანის მთვარის შუაში შესრულებადი ნამაზი. ამიტომაც ეს ორი ნამაზი ცუდი და ისლამში გაკიცხული ბიდათი ნამაზებია. ამ ორი ნამაზის შესახებ გადმოცემული ჰადისები ცრუ ჰადისებია. ამიტომაც ასეთი ნამაზის გინდ დამოუკიდებლად და გინდაც ჯამაათით </w:t>
      </w:r>
      <w:r w:rsidRPr="00F52025">
        <w:rPr>
          <w:rFonts w:ascii="Sylfaen" w:hAnsi="Sylfaen" w:cstheme="majorBidi"/>
          <w:b/>
          <w:bCs/>
          <w:sz w:val="36"/>
          <w:szCs w:val="36"/>
          <w:lang w:val="ka-GE" w:bidi="ar-EG"/>
        </w:rPr>
        <w:lastRenderedPageBreak/>
        <w:t>ლოცვა სწავლულთა წინაშე მოუწონარ საქციელად ითვლება.“</w:t>
      </w:r>
      <w:r w:rsidRPr="00F52025">
        <w:rPr>
          <w:rStyle w:val="FootnoteReference"/>
          <w:rFonts w:ascii="Sylfaen" w:hAnsi="Sylfaen" w:cstheme="majorBidi"/>
          <w:b/>
          <w:bCs/>
          <w:sz w:val="36"/>
          <w:szCs w:val="36"/>
          <w:lang w:val="ka-GE" w:bidi="ar-EG"/>
        </w:rPr>
        <w:footnoteReference w:id="3"/>
      </w:r>
    </w:p>
    <w:p w:rsidR="00434012" w:rsidRPr="00F52025" w:rsidRDefault="00434012" w:rsidP="00434012">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მალიქი მეზჰების სწავლულთაგან იბნ-ი’ლ-ჰაჯი (რჰ.ა.) ასე ამბობს:</w:t>
      </w:r>
    </w:p>
    <w:p w:rsidR="00661423" w:rsidRPr="00F52025" w:rsidRDefault="00434012" w:rsidP="009407E8">
      <w:pPr>
        <w:bidi w:val="0"/>
        <w:ind w:left="720" w:firstLine="720"/>
        <w:jc w:val="both"/>
        <w:rPr>
          <w:rFonts w:ascii="Sylfaen" w:hAnsi="Sylfaen" w:cstheme="majorBidi"/>
          <w:b/>
          <w:bCs/>
          <w:sz w:val="36"/>
          <w:szCs w:val="36"/>
          <w:lang w:val="ka-GE" w:bidi="ar-EG"/>
        </w:rPr>
      </w:pPr>
      <w:r w:rsidRPr="00F52025">
        <w:rPr>
          <w:rFonts w:ascii="Sylfaen" w:hAnsi="Sylfaen" w:cstheme="majorBidi"/>
          <w:b/>
          <w:bCs/>
          <w:sz w:val="36"/>
          <w:szCs w:val="36"/>
          <w:lang w:val="ka-GE" w:bidi="ar-EG"/>
        </w:rPr>
        <w:t>„ამ ძვირფას მთვარეში</w:t>
      </w:r>
      <w:r w:rsidRPr="00F52025">
        <w:rPr>
          <w:rFonts w:ascii="Sylfaen" w:hAnsi="Sylfaen" w:cstheme="majorBidi"/>
          <w:sz w:val="36"/>
          <w:szCs w:val="36"/>
          <w:lang w:val="ka-GE" w:bidi="ar-EG"/>
        </w:rPr>
        <w:t xml:space="preserve"> (რეჯები)</w:t>
      </w:r>
      <w:r w:rsidRPr="00F52025">
        <w:rPr>
          <w:rFonts w:ascii="Sylfaen" w:hAnsi="Sylfaen" w:cstheme="majorBidi"/>
          <w:b/>
          <w:bCs/>
          <w:sz w:val="36"/>
          <w:szCs w:val="36"/>
          <w:lang w:val="ka-GE" w:bidi="ar-EG"/>
        </w:rPr>
        <w:t xml:space="preserve"> გამოგონილ ბიდათთა შორის არის რეჯების პირველ ჯუმა ღამეს ლოცვადი ნამაზი, რომელსაც მეჩეთებსა და სამლოცველოებში ლოცულობენ. ხალხი თავიანთი ქვეყნების მეჩეთებსა და სამლოცველოებში იკრიბებიან და ამ ბიდათს ასრულებენ</w:t>
      </w:r>
      <w:r w:rsidR="00661423" w:rsidRPr="00F52025">
        <w:rPr>
          <w:rFonts w:ascii="Sylfaen" w:hAnsi="Sylfaen" w:cstheme="majorBidi"/>
          <w:b/>
          <w:bCs/>
          <w:sz w:val="36"/>
          <w:szCs w:val="36"/>
          <w:lang w:val="ka-GE" w:bidi="ar-EG"/>
        </w:rPr>
        <w:t>, ისე როგორც შარიათით დადგენილ ფარძ ნამაზებს, ჯამაათით იმამ</w:t>
      </w:r>
      <w:r w:rsidR="009407E8" w:rsidRPr="00F52025">
        <w:rPr>
          <w:rFonts w:ascii="Sylfaen" w:hAnsi="Sylfaen" w:cstheme="majorBidi"/>
          <w:b/>
          <w:bCs/>
          <w:sz w:val="36"/>
          <w:szCs w:val="36"/>
          <w:lang w:val="ka-GE" w:bidi="ar-EG"/>
        </w:rPr>
        <w:t>ი</w:t>
      </w:r>
      <w:r w:rsidR="00661423" w:rsidRPr="00F52025">
        <w:rPr>
          <w:rFonts w:ascii="Sylfaen" w:hAnsi="Sylfaen" w:cstheme="majorBidi"/>
          <w:b/>
          <w:bCs/>
          <w:sz w:val="36"/>
          <w:szCs w:val="36"/>
          <w:lang w:val="ka-GE" w:bidi="ar-EG"/>
        </w:rPr>
        <w:t>ს უკან ლოცულობენ....</w:t>
      </w:r>
    </w:p>
    <w:p w:rsidR="00661423" w:rsidRPr="00F52025" w:rsidRDefault="00661423" w:rsidP="00661423">
      <w:pPr>
        <w:bidi w:val="0"/>
        <w:ind w:left="720"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ამ თემასთან დაკავშირებით იმამი მალიქის</w:t>
      </w:r>
      <w:r w:rsidR="008F528B" w:rsidRPr="00F52025">
        <w:rPr>
          <w:rFonts w:ascii="Sylfaen" w:hAnsi="Sylfaen" w:cstheme="majorBidi"/>
          <w:b/>
          <w:bCs/>
          <w:sz w:val="36"/>
          <w:szCs w:val="36"/>
          <w:lang w:val="ka-GE" w:bidi="ar-EG"/>
        </w:rPr>
        <w:t xml:space="preserve"> </w:t>
      </w:r>
      <w:r w:rsidRPr="00F52025">
        <w:rPr>
          <w:rFonts w:ascii="Sylfaen" w:hAnsi="Sylfaen" w:cstheme="majorBidi"/>
          <w:sz w:val="36"/>
          <w:szCs w:val="36"/>
          <w:lang w:val="ka-GE" w:bidi="ar-EG"/>
        </w:rPr>
        <w:t>(რჰ.ა.)</w:t>
      </w:r>
      <w:r w:rsidRPr="00F52025">
        <w:rPr>
          <w:rFonts w:ascii="Sylfaen" w:hAnsi="Sylfaen" w:cstheme="majorBidi"/>
          <w:b/>
          <w:bCs/>
          <w:sz w:val="36"/>
          <w:szCs w:val="36"/>
          <w:lang w:val="ka-GE" w:bidi="ar-EG"/>
        </w:rPr>
        <w:t xml:space="preserve"> მეზჰები </w:t>
      </w:r>
      <w:r w:rsidRPr="00F52025">
        <w:rPr>
          <w:rFonts w:ascii="Sylfaen" w:hAnsi="Sylfaen" w:cstheme="majorBidi"/>
          <w:sz w:val="36"/>
          <w:szCs w:val="36"/>
          <w:lang w:val="ka-GE" w:bidi="ar-EG"/>
        </w:rPr>
        <w:t>(შეხედულება)</w:t>
      </w:r>
      <w:r w:rsidRPr="00F52025">
        <w:rPr>
          <w:rFonts w:ascii="Sylfaen" w:hAnsi="Sylfaen" w:cstheme="majorBidi"/>
          <w:b/>
          <w:bCs/>
          <w:sz w:val="36"/>
          <w:szCs w:val="36"/>
          <w:lang w:val="ka-GE" w:bidi="ar-EG"/>
        </w:rPr>
        <w:t xml:space="preserve"> არის შემდეგი: უეჭველად, რეღაიბ ნამაზის შესრულება მექრუჰი საქმეა. რადგანაც ეს ნამაზი არ მიეკუთვნება იმ საქმეებს, რასაც ჩვენზე წინ მყოფები აკეთებდნენ. სიკეთისა და ხეირის ყველა სახეობა, მათზე მიყოლაშია. უზენაესი ალლაჰი კმაყოფილი იყოს მათგან.“</w:t>
      </w:r>
      <w:r w:rsidRPr="00F52025">
        <w:rPr>
          <w:rStyle w:val="FootnoteReference"/>
          <w:rFonts w:ascii="Sylfaen" w:hAnsi="Sylfaen" w:cstheme="majorBidi"/>
          <w:b/>
          <w:bCs/>
          <w:sz w:val="36"/>
          <w:szCs w:val="36"/>
          <w:lang w:val="ka-GE" w:bidi="ar-EG"/>
        </w:rPr>
        <w:footnoteReference w:id="4"/>
      </w:r>
    </w:p>
    <w:p w:rsidR="00661423" w:rsidRPr="00F52025" w:rsidRDefault="00661423" w:rsidP="00661423">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შეიხულ ისლამი იბნი თეიმია (რჰ.ა.) ამ თემის შესახებ ასე მაბობს:</w:t>
      </w:r>
    </w:p>
    <w:p w:rsidR="00B5667F" w:rsidRPr="00F52025" w:rsidRDefault="00661423" w:rsidP="009407E8">
      <w:pPr>
        <w:bidi w:val="0"/>
        <w:ind w:left="720"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 xml:space="preserve">„რაც შეეხება რეჯების მთვარის პირველ ჯუმა ღამეს ლოცვადი რეღაიბ ნამაზის, რეჯების მთვარის </w:t>
      </w:r>
      <w:r w:rsidRPr="00F52025">
        <w:rPr>
          <w:rFonts w:ascii="Sylfaen" w:hAnsi="Sylfaen" w:cstheme="majorBidi"/>
          <w:b/>
          <w:bCs/>
          <w:sz w:val="36"/>
          <w:szCs w:val="36"/>
          <w:lang w:val="ka-GE" w:bidi="ar-EG"/>
        </w:rPr>
        <w:lastRenderedPageBreak/>
        <w:t>დასაწყისსა და შაღბანის მთვარეს შუაში ლოცვადი 1000 მუხლიანი ნამაზის, რეჯების ოცდამეშვიდე ღამეს ლოცვადი ნამაზისა და მსგავსად კონკრეტული დროით, მუხლებითა და კითხვის ფორმით დაკონკრეტებულ</w:t>
      </w:r>
      <w:r w:rsidR="00D86B30" w:rsidRPr="00F52025">
        <w:rPr>
          <w:rFonts w:ascii="Sylfaen" w:hAnsi="Sylfaen" w:cstheme="majorBidi"/>
          <w:b/>
          <w:bCs/>
          <w:sz w:val="36"/>
          <w:szCs w:val="36"/>
          <w:lang w:val="ka-GE" w:bidi="ar-EG"/>
        </w:rPr>
        <w:t>ი ნამაზების ჯამაათით ლოცვის შესახებ დასმული კითხვების შესახებ გეტყვით, რომ: ასეთი საქციელი ისლამის სწავლულთა საერთო აზრის მიხედვით დაუშვებელია. რადგანაც ავტორიტეტული სწავლულები ასე ამბობენ. ამგვარ ბიდათს უვიცი მობიდათეს გარდა სხვა არავინ არ გამოიგონებს. რჯულში ასეთი კარის გახსნა, იმ პირებს შეუწყობს ხელს, ვისაც რჯულში რამის შეცვლა და ალლაჰის მიერ ნებადაურთავი საკითხების ნებადართულად გამოცხადება სურთ.“</w:t>
      </w:r>
      <w:r w:rsidR="00D86B30" w:rsidRPr="00F52025">
        <w:rPr>
          <w:rStyle w:val="FootnoteReference"/>
          <w:rFonts w:ascii="Sylfaen" w:hAnsi="Sylfaen" w:cstheme="majorBidi"/>
          <w:b/>
          <w:bCs/>
          <w:sz w:val="36"/>
          <w:szCs w:val="36"/>
          <w:lang w:val="ka-GE" w:bidi="ar-EG"/>
        </w:rPr>
        <w:footnoteReference w:id="5"/>
      </w:r>
    </w:p>
    <w:p w:rsidR="00B5667F" w:rsidRPr="00F52025" w:rsidRDefault="00B5667F" w:rsidP="00B5667F">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შეიხულ ისლამი იბნი თეიმია (რჰ.ა.) რეღაიბ ნამაზის შესახებ კიდევ ასე ამბობს:</w:t>
      </w:r>
    </w:p>
    <w:p w:rsidR="0039296C" w:rsidRPr="00F52025" w:rsidRDefault="00B5667F" w:rsidP="00B5667F">
      <w:pPr>
        <w:bidi w:val="0"/>
        <w:ind w:left="720" w:firstLine="720"/>
        <w:jc w:val="both"/>
        <w:rPr>
          <w:rFonts w:ascii="Sylfaen" w:hAnsi="Sylfaen" w:cstheme="majorBidi"/>
          <w:sz w:val="36"/>
          <w:szCs w:val="36"/>
          <w:lang w:val="ka-GE" w:bidi="ar-EG"/>
        </w:rPr>
      </w:pPr>
      <w:r w:rsidRPr="00F52025">
        <w:rPr>
          <w:rFonts w:ascii="Sylfaen" w:hAnsi="Sylfaen" w:cstheme="majorBidi"/>
          <w:b/>
          <w:bCs/>
          <w:sz w:val="36"/>
          <w:szCs w:val="36"/>
          <w:lang w:val="ka-GE" w:bidi="ar-EG"/>
        </w:rPr>
        <w:t>„ასეთი ნამაზი არც ალლაჰის შუამავალს</w:t>
      </w:r>
      <w:r w:rsidRPr="00F52025">
        <w:rPr>
          <w:rFonts w:ascii="Sylfaen" w:hAnsi="Sylfaen" w:cstheme="majorBidi"/>
          <w:sz w:val="36"/>
          <w:szCs w:val="36"/>
          <w:lang w:val="ka-GE" w:bidi="ar-EG"/>
        </w:rPr>
        <w:t xml:space="preserve"> (ს.ა.ს.)</w:t>
      </w:r>
      <w:r w:rsidRPr="00F52025">
        <w:rPr>
          <w:rFonts w:ascii="Sylfaen" w:hAnsi="Sylfaen" w:cstheme="majorBidi"/>
          <w:b/>
          <w:bCs/>
          <w:sz w:val="36"/>
          <w:szCs w:val="36"/>
          <w:lang w:val="ka-GE" w:bidi="ar-EG"/>
        </w:rPr>
        <w:t xml:space="preserve">, არც საჰაბეთაგან, არც თაბიინთაგან და არც მუსლიმთა იმამთაგან არცერთს არ ულოცავს. არც ალლაჰის შუამავალს </w:t>
      </w:r>
      <w:r w:rsidRPr="00F52025">
        <w:rPr>
          <w:rFonts w:ascii="Sylfaen" w:hAnsi="Sylfaen" w:cstheme="majorBidi"/>
          <w:sz w:val="36"/>
          <w:szCs w:val="36"/>
          <w:lang w:val="ka-GE" w:bidi="ar-EG"/>
        </w:rPr>
        <w:t>(ს.ა.ს.)</w:t>
      </w:r>
      <w:r w:rsidRPr="00F52025">
        <w:rPr>
          <w:rFonts w:ascii="Sylfaen" w:hAnsi="Sylfaen" w:cstheme="majorBidi"/>
          <w:b/>
          <w:bCs/>
          <w:sz w:val="36"/>
          <w:szCs w:val="36"/>
          <w:lang w:val="ka-GE" w:bidi="ar-EG"/>
        </w:rPr>
        <w:t xml:space="preserve">, არც სელეფთაგან რომელიმეს და არც იმამთაგან რომელიმეს ამ ნამაზის ლოცვისთვის არ მოუწოდებიათ. ამ ღამის მადლიანობის შესახებ არაფერი არ უხსენებიათ. ამის შესახებ ალლაჰის შუამავლისგან  </w:t>
      </w:r>
      <w:r w:rsidR="0039296C" w:rsidRPr="00F52025">
        <w:rPr>
          <w:rFonts w:ascii="Sylfaen" w:hAnsi="Sylfaen" w:cstheme="majorBidi"/>
          <w:sz w:val="36"/>
          <w:szCs w:val="36"/>
          <w:lang w:val="ka-GE" w:bidi="ar-EG"/>
        </w:rPr>
        <w:t>(ს.ა.ს.)</w:t>
      </w:r>
      <w:r w:rsidR="0039296C" w:rsidRPr="00F52025">
        <w:rPr>
          <w:rFonts w:ascii="Sylfaen" w:hAnsi="Sylfaen" w:cstheme="majorBidi"/>
          <w:b/>
          <w:bCs/>
          <w:sz w:val="36"/>
          <w:szCs w:val="36"/>
          <w:lang w:val="ka-GE" w:bidi="ar-EG"/>
        </w:rPr>
        <w:t xml:space="preserve"> გადმოცემული ჰადისების შესახებ ჰადისის </w:t>
      </w:r>
      <w:r w:rsidR="0039296C" w:rsidRPr="00F52025">
        <w:rPr>
          <w:rFonts w:ascii="Sylfaen" w:hAnsi="Sylfaen" w:cstheme="majorBidi"/>
          <w:b/>
          <w:bCs/>
          <w:sz w:val="36"/>
          <w:szCs w:val="36"/>
          <w:lang w:val="ka-GE" w:bidi="ar-EG"/>
        </w:rPr>
        <w:lastRenderedPageBreak/>
        <w:t>სწავლულები ერთიანად თანხმდება, რომ ესენი ცრუ ჰადისებია. ამიტომაც მომდევნო თაობის სწავულებიბი ამბობენ, რომ: რეღაიბის ნამაზი მექრუჰია, სუნნეთი არ არის.“</w:t>
      </w:r>
      <w:r w:rsidR="0039296C" w:rsidRPr="00F52025">
        <w:rPr>
          <w:rStyle w:val="FootnoteReference"/>
          <w:rFonts w:ascii="Sylfaen" w:hAnsi="Sylfaen" w:cstheme="majorBidi"/>
          <w:b/>
          <w:bCs/>
          <w:sz w:val="36"/>
          <w:szCs w:val="36"/>
          <w:lang w:val="ka-GE" w:bidi="ar-EG"/>
        </w:rPr>
        <w:footnoteReference w:id="6"/>
      </w:r>
    </w:p>
    <w:p w:rsidR="0039296C" w:rsidRPr="00F52025" w:rsidRDefault="0039296C" w:rsidP="0039296C">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ფიყჰის ენციკლოპედიაშიც ასეა ნათქვამი:</w:t>
      </w:r>
    </w:p>
    <w:p w:rsidR="0039296C" w:rsidRPr="00F52025" w:rsidRDefault="0039296C" w:rsidP="0039296C">
      <w:pPr>
        <w:bidi w:val="0"/>
        <w:ind w:left="720" w:firstLine="720"/>
        <w:jc w:val="both"/>
        <w:rPr>
          <w:rFonts w:ascii="Sylfaen" w:hAnsi="Sylfaen" w:cstheme="majorBidi"/>
          <w:b/>
          <w:bCs/>
          <w:sz w:val="36"/>
          <w:szCs w:val="36"/>
          <w:lang w:val="ka-GE" w:bidi="ar-EG"/>
        </w:rPr>
      </w:pPr>
      <w:r w:rsidRPr="00F52025">
        <w:rPr>
          <w:rFonts w:ascii="Sylfaen" w:hAnsi="Sylfaen" w:cstheme="majorBidi"/>
          <w:b/>
          <w:bCs/>
          <w:sz w:val="36"/>
          <w:szCs w:val="36"/>
          <w:lang w:val="ka-GE" w:bidi="ar-EG"/>
        </w:rPr>
        <w:t>„ჰანეფი და შაფი მეზჰების სწავლულები, რეჯების მთვარის პირველ ჯუმას ან შაღბანის მთვარის შუაში კონკრეტული ფორმით და კონკრეტული მუხლებით დადგენილი რეღაიბ ნამაზის ბიდათობაზე ერთ აზრს ადგანან...</w:t>
      </w:r>
    </w:p>
    <w:p w:rsidR="0039296C" w:rsidRPr="00F52025" w:rsidRDefault="0039296C" w:rsidP="0039296C">
      <w:pPr>
        <w:bidi w:val="0"/>
        <w:ind w:left="720" w:firstLine="720"/>
        <w:jc w:val="both"/>
        <w:rPr>
          <w:rFonts w:ascii="Sylfaen" w:hAnsi="Sylfaen" w:cstheme="majorBidi"/>
          <w:sz w:val="36"/>
          <w:szCs w:val="36"/>
          <w:lang w:val="ka-GE" w:bidi="ar-EG"/>
        </w:rPr>
      </w:pPr>
      <w:r w:rsidRPr="00F52025">
        <w:rPr>
          <w:rFonts w:ascii="Sylfaen" w:hAnsi="Sylfaen" w:cstheme="majorBidi"/>
          <w:sz w:val="36"/>
          <w:szCs w:val="36"/>
          <w:lang w:val="ka-GE" w:bidi="ar-EG"/>
        </w:rPr>
        <w:t>აბუ’ლ-ფერაჯ ბინ ალ-ჯევზი (რჰ.ა.) ასე აგრძელებს:</w:t>
      </w:r>
    </w:p>
    <w:p w:rsidR="00AA44A9" w:rsidRPr="0039296C" w:rsidRDefault="0039296C" w:rsidP="0039296C">
      <w:pPr>
        <w:bidi w:val="0"/>
        <w:ind w:left="720" w:firstLine="720"/>
        <w:jc w:val="both"/>
        <w:rPr>
          <w:rFonts w:ascii="Sylfaen" w:hAnsi="Sylfaen" w:cstheme="majorBidi"/>
          <w:b/>
          <w:bCs/>
          <w:sz w:val="24"/>
          <w:szCs w:val="24"/>
          <w:lang w:val="ka-GE" w:bidi="ar-EG"/>
        </w:rPr>
      </w:pPr>
      <w:r w:rsidRPr="00F52025">
        <w:rPr>
          <w:rFonts w:ascii="Sylfaen" w:hAnsi="Sylfaen" w:cstheme="majorBidi"/>
          <w:b/>
          <w:bCs/>
          <w:sz w:val="36"/>
          <w:szCs w:val="36"/>
          <w:lang w:val="ka-GE" w:bidi="ar-EG"/>
        </w:rPr>
        <w:t>სხვადასხვა მხრივ დამტკიცებულია, რომ ეს ნამაზი ცუდი ბიდათია. საჰაბეების, თაბიინებისა და მუჯთეჰიდი ალიმებისგან ამ ორი ნამაზის შესახებ გადმოცემული არაფერია. ეს ნამაზები შარიათით დადგენილი რამე რომ ყოფილიყო</w:t>
      </w:r>
      <w:r w:rsidR="00BD5341" w:rsidRPr="00F52025">
        <w:rPr>
          <w:rFonts w:ascii="Sylfaen" w:hAnsi="Sylfaen" w:cstheme="majorBidi"/>
          <w:b/>
          <w:bCs/>
          <w:sz w:val="36"/>
          <w:szCs w:val="36"/>
          <w:lang w:val="ka-GE" w:bidi="ar-EG"/>
        </w:rPr>
        <w:t>, პირველი თაობის მუსლიმებს არავითარ შემთხვევაში არ გამორჩებოდათ. ეს ორი ნამაზი მხოლოდ ჰიჯრით ოთხასი წლის შემდეგ იქნა გამოგონილი.</w:t>
      </w:r>
      <w:r w:rsidR="00BD5341" w:rsidRPr="00F52025">
        <w:rPr>
          <w:rStyle w:val="FootnoteReference"/>
          <w:rFonts w:ascii="Sylfaen" w:hAnsi="Sylfaen" w:cstheme="majorBidi"/>
          <w:b/>
          <w:bCs/>
          <w:sz w:val="36"/>
          <w:szCs w:val="36"/>
          <w:lang w:val="ka-GE" w:bidi="ar-EG"/>
        </w:rPr>
        <w:footnoteReference w:id="7"/>
      </w:r>
      <w:r w:rsidR="00EC78D3" w:rsidRPr="0039296C">
        <w:rPr>
          <w:rFonts w:asciiTheme="majorBidi" w:hAnsiTheme="majorBidi" w:cstheme="majorBidi"/>
          <w:b/>
          <w:bCs/>
          <w:sz w:val="24"/>
          <w:szCs w:val="24"/>
          <w:lang w:bidi="ar-EG"/>
        </w:rPr>
        <w:tab/>
      </w:r>
      <w:r w:rsidR="000A6307" w:rsidRPr="0039296C">
        <w:rPr>
          <w:rFonts w:asciiTheme="majorBidi" w:hAnsiTheme="majorBidi" w:cstheme="majorBidi"/>
          <w:b/>
          <w:bCs/>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862" w:rsidRDefault="00012862" w:rsidP="00E32771">
      <w:pPr>
        <w:spacing w:after="0" w:line="240" w:lineRule="auto"/>
      </w:pPr>
      <w:r>
        <w:separator/>
      </w:r>
    </w:p>
  </w:endnote>
  <w:endnote w:type="continuationSeparator" w:id="0">
    <w:p w:rsidR="00012862" w:rsidRDefault="0001286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0BA66BAD-B1ED-4335-8C60-294786A98F21}"/>
    <w:embedBold r:id="rId2" w:fontKey="{D094FFE5-A0F8-4367-9299-C8E25BF286C7}"/>
  </w:font>
  <w:font w:name="Calibri">
    <w:panose1 w:val="020F0502020204030204"/>
    <w:charset w:val="00"/>
    <w:family w:val="swiss"/>
    <w:pitch w:val="variable"/>
    <w:sig w:usb0="A00002EF" w:usb1="4000207B" w:usb2="00000000" w:usb3="00000000" w:csb0="0000009F" w:csb1="00000000"/>
    <w:embedRegular r:id="rId3" w:fontKey="{310D2AE3-F9DB-4326-8AA4-EBD8CF88F4C2}"/>
    <w:embedBold r:id="rId4" w:fontKey="{DEA97CDB-FC45-4A96-9D3E-E6B94A5E5CD2}"/>
  </w:font>
  <w:font w:name="Arial">
    <w:panose1 w:val="020B0604020202020204"/>
    <w:charset w:val="00"/>
    <w:family w:val="swiss"/>
    <w:pitch w:val="variable"/>
    <w:sig w:usb0="E0002AFF" w:usb1="00007843" w:usb2="00000001" w:usb3="00000000" w:csb0="000001FF" w:csb1="00000000"/>
    <w:embedRegular r:id="rId5" w:fontKey="{03AD1BB1-03F2-4FE7-BA39-60F57DB417AE}"/>
  </w:font>
  <w:font w:name="Courier New">
    <w:panose1 w:val="02070309020205020404"/>
    <w:charset w:val="00"/>
    <w:family w:val="modern"/>
    <w:pitch w:val="fixed"/>
    <w:sig w:usb0="E0000AFF" w:usb1="40007843" w:usb2="00000001" w:usb3="00000000" w:csb0="000001BF" w:csb1="00000000"/>
    <w:embedRegular r:id="rId6" w:fontKey="{35CB5137-7F0B-4B47-B1F4-4BD15F7A8889}"/>
  </w:font>
  <w:font w:name="Times New Roman">
    <w:panose1 w:val="02020603050405020304"/>
    <w:charset w:val="00"/>
    <w:family w:val="roman"/>
    <w:pitch w:val="variable"/>
    <w:sig w:usb0="E0002AFF" w:usb1="00007843" w:usb2="00000001" w:usb3="00000000" w:csb0="000001FF" w:csb1="00000000"/>
    <w:embedRegular r:id="rId7" w:fontKey="{CB2E55F3-61A5-4D28-8DD5-FC67F33E90EF}"/>
    <w:embedBold r:id="rId8" w:fontKey="{67750640-4087-4C77-B9B0-56ADE2C88893}"/>
  </w:font>
  <w:font w:name="Wingdings">
    <w:panose1 w:val="05000000000000000000"/>
    <w:charset w:val="02"/>
    <w:family w:val="auto"/>
    <w:pitch w:val="variable"/>
    <w:sig w:usb0="00000000" w:usb1="10000000" w:usb2="00000000" w:usb3="00000000" w:csb0="80000000" w:csb1="00000000"/>
    <w:embedRegular r:id="rId9" w:fontKey="{DF175D83-E9AE-44A8-883B-B5CF645A5493}"/>
  </w:font>
  <w:font w:name="Symbol">
    <w:panose1 w:val="05050102010706020507"/>
    <w:charset w:val="00"/>
    <w:family w:val="swiss"/>
    <w:pitch w:val="variable"/>
    <w:sig w:usb0="00000203" w:usb1="00000000" w:usb2="00000000" w:usb3="00000000" w:csb0="00000005" w:csb1="00000000"/>
    <w:embedRegular r:id="rId10" w:fontKey="{A614F0A9-EB74-409D-83EA-CA9472033CD7}"/>
  </w:font>
  <w:font w:name="Traditional Arabic">
    <w:panose1 w:val="02020603050405020304"/>
    <w:charset w:val="B2"/>
    <w:family w:val="auto"/>
    <w:pitch w:val="variable"/>
    <w:sig w:usb0="00002001" w:usb1="00000000" w:usb2="00000000" w:usb3="00000000" w:csb0="00000040" w:csb1="00000000"/>
    <w:embedRegular r:id="rId11" w:fontKey="{72C8FAA6-323B-4197-97A0-D7439FA73916}"/>
    <w:embedBold r:id="rId12" w:fontKey="{81D53973-437C-46A3-8608-F6363323F3AA}"/>
  </w:font>
  <w:font w:name="KFGQPC Uthman Taha Naskh">
    <w:altName w:val="Times New Roman"/>
    <w:panose1 w:val="02000000000000000000"/>
    <w:charset w:val="B2"/>
    <w:family w:val="auto"/>
    <w:pitch w:val="variable"/>
    <w:sig w:usb0="80002001" w:usb1="90000000" w:usb2="00000008" w:usb3="00000000" w:csb0="00000040" w:csb1="00000000"/>
    <w:embedRegular r:id="rId13" w:fontKey="{F1936610-C863-4CC3-B7C6-1D3CA76CD51D}"/>
  </w:font>
  <w:font w:name="Wingdings 2">
    <w:panose1 w:val="05020102010507070707"/>
    <w:charset w:val="02"/>
    <w:family w:val="roman"/>
    <w:pitch w:val="variable"/>
    <w:sig w:usb0="00000000" w:usb1="10000000" w:usb2="00000000" w:usb3="00000000" w:csb0="80000000" w:csb1="00000000"/>
    <w:embedRegular r:id="rId14" w:fontKey="{71EB1909-485F-4108-92B0-52CAF9B0C873}"/>
  </w:font>
  <w:font w:name="Calibri Light">
    <w:panose1 w:val="020F0302020204030204"/>
    <w:charset w:val="00"/>
    <w:family w:val="swiss"/>
    <w:pitch w:val="variable"/>
    <w:sig w:usb0="A00002EF" w:usb1="4000207B" w:usb2="00000000" w:usb3="00000000" w:csb0="0000019F" w:csb1="00000000"/>
    <w:embedRegular r:id="rId15" w:fontKey="{D369A4BB-C095-4212-ADDF-179745EC1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55680" behindDoc="0" locked="0" layoutInCell="1" allowOverlap="1" wp14:anchorId="7EB62614" wp14:editId="2CDFD81C">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9202B9"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862" w:rsidRDefault="00012862" w:rsidP="00E32771">
      <w:pPr>
        <w:spacing w:after="0" w:line="240" w:lineRule="auto"/>
      </w:pPr>
      <w:r>
        <w:separator/>
      </w:r>
    </w:p>
  </w:footnote>
  <w:footnote w:type="continuationSeparator" w:id="0">
    <w:p w:rsidR="00012862" w:rsidRDefault="00012862" w:rsidP="00E32771">
      <w:pPr>
        <w:spacing w:after="0" w:line="240" w:lineRule="auto"/>
      </w:pPr>
      <w:r>
        <w:continuationSeparator/>
      </w:r>
    </w:p>
  </w:footnote>
  <w:footnote w:id="1">
    <w:p w:rsidR="003C74CF" w:rsidRPr="00F52025" w:rsidRDefault="003C74CF" w:rsidP="003C74CF">
      <w:pPr>
        <w:pStyle w:val="FootnoteText"/>
        <w:bidi w:val="0"/>
        <w:jc w:val="both"/>
        <w:rPr>
          <w:rFonts w:ascii="Sylfaen" w:hAnsi="Sylfaen"/>
          <w:sz w:val="32"/>
          <w:szCs w:val="32"/>
          <w:lang w:val="ka-GE"/>
        </w:rPr>
      </w:pPr>
      <w:r w:rsidRPr="00F52025">
        <w:rPr>
          <w:rStyle w:val="FootnoteReference"/>
          <w:sz w:val="32"/>
          <w:szCs w:val="32"/>
        </w:rPr>
        <w:footnoteRef/>
      </w:r>
      <w:r w:rsidRPr="00F52025">
        <w:rPr>
          <w:sz w:val="32"/>
          <w:szCs w:val="32"/>
          <w:rtl/>
        </w:rPr>
        <w:t xml:space="preserve"> </w:t>
      </w:r>
      <w:r w:rsidRPr="00F52025">
        <w:rPr>
          <w:rFonts w:ascii="Sylfaen" w:hAnsi="Sylfaen"/>
          <w:sz w:val="32"/>
          <w:szCs w:val="32"/>
          <w:lang w:val="ka-GE"/>
        </w:rPr>
        <w:t>იმამ ნავავი, ალ-მეჯმუ', ტ. 3, გვ. 548.)</w:t>
      </w:r>
    </w:p>
  </w:footnote>
  <w:footnote w:id="2">
    <w:p w:rsidR="00EC78D3" w:rsidRPr="00F52025" w:rsidRDefault="00EC78D3" w:rsidP="00EC78D3">
      <w:pPr>
        <w:pStyle w:val="FootnoteText"/>
        <w:bidi w:val="0"/>
        <w:jc w:val="both"/>
        <w:rPr>
          <w:rFonts w:ascii="Sylfaen" w:hAnsi="Sylfaen"/>
          <w:sz w:val="32"/>
          <w:szCs w:val="32"/>
          <w:lang w:val="ka-GE"/>
        </w:rPr>
      </w:pPr>
      <w:r w:rsidRPr="00F52025">
        <w:rPr>
          <w:rStyle w:val="FootnoteReference"/>
          <w:sz w:val="32"/>
          <w:szCs w:val="32"/>
        </w:rPr>
        <w:footnoteRef/>
      </w:r>
      <w:r w:rsidRPr="00F52025">
        <w:rPr>
          <w:sz w:val="32"/>
          <w:szCs w:val="32"/>
          <w:rtl/>
        </w:rPr>
        <w:t xml:space="preserve"> </w:t>
      </w:r>
      <w:r w:rsidR="00EF489A" w:rsidRPr="00F52025">
        <w:rPr>
          <w:rFonts w:ascii="Sylfaen" w:hAnsi="Sylfaen"/>
          <w:sz w:val="32"/>
          <w:szCs w:val="32"/>
          <w:lang w:val="ka-GE"/>
        </w:rPr>
        <w:t>იბნი აბიდდინ, ჰაშიე, ტ. 2, გვ. 26.</w:t>
      </w:r>
    </w:p>
  </w:footnote>
  <w:footnote w:id="3">
    <w:p w:rsidR="008F528B" w:rsidRPr="00F52025" w:rsidRDefault="008F528B" w:rsidP="008F528B">
      <w:pPr>
        <w:pStyle w:val="FootnoteText"/>
        <w:bidi w:val="0"/>
        <w:jc w:val="both"/>
        <w:rPr>
          <w:rFonts w:ascii="Sylfaen" w:hAnsi="Sylfaen"/>
          <w:sz w:val="32"/>
          <w:szCs w:val="32"/>
          <w:lang w:val="ka-GE"/>
        </w:rPr>
      </w:pPr>
      <w:r w:rsidRPr="00F52025">
        <w:rPr>
          <w:rStyle w:val="FootnoteReference"/>
          <w:sz w:val="32"/>
          <w:szCs w:val="32"/>
        </w:rPr>
        <w:footnoteRef/>
      </w:r>
      <w:r w:rsidRPr="00F52025">
        <w:rPr>
          <w:sz w:val="32"/>
          <w:szCs w:val="32"/>
          <w:rtl/>
        </w:rPr>
        <w:t xml:space="preserve"> </w:t>
      </w:r>
      <w:r w:rsidRPr="00F52025">
        <w:rPr>
          <w:rFonts w:ascii="Sylfaen" w:hAnsi="Sylfaen"/>
          <w:sz w:val="32"/>
          <w:szCs w:val="32"/>
          <w:lang w:val="ka-GE"/>
        </w:rPr>
        <w:t>ალ-ფეთაავაა'ლ-ფიყჰიიეთუ'ლ-ქუბრა, ტ. 1, გვ. 216.</w:t>
      </w:r>
    </w:p>
  </w:footnote>
  <w:footnote w:id="4">
    <w:p w:rsidR="00661423" w:rsidRPr="00F52025" w:rsidRDefault="00661423" w:rsidP="00661423">
      <w:pPr>
        <w:pStyle w:val="FootnoteText"/>
        <w:bidi w:val="0"/>
        <w:jc w:val="both"/>
        <w:rPr>
          <w:rFonts w:ascii="Sylfaen" w:hAnsi="Sylfaen"/>
          <w:sz w:val="32"/>
          <w:szCs w:val="32"/>
          <w:lang w:val="ka-GE"/>
        </w:rPr>
      </w:pPr>
      <w:r w:rsidRPr="00F52025">
        <w:rPr>
          <w:rStyle w:val="FootnoteReference"/>
          <w:sz w:val="32"/>
          <w:szCs w:val="32"/>
        </w:rPr>
        <w:footnoteRef/>
      </w:r>
      <w:r w:rsidRPr="00F52025">
        <w:rPr>
          <w:sz w:val="32"/>
          <w:szCs w:val="32"/>
          <w:rtl/>
        </w:rPr>
        <w:t xml:space="preserve"> </w:t>
      </w:r>
      <w:r w:rsidRPr="00F52025">
        <w:rPr>
          <w:rFonts w:ascii="Sylfaen" w:hAnsi="Sylfaen"/>
          <w:sz w:val="32"/>
          <w:szCs w:val="32"/>
          <w:lang w:val="ka-GE"/>
        </w:rPr>
        <w:t xml:space="preserve"> იბნ-ი’ლ-ჰაჯ ალ-მალიქი, ალ-მადჰალ, ტ. 1, გვ. 294.</w:t>
      </w:r>
    </w:p>
  </w:footnote>
  <w:footnote w:id="5">
    <w:p w:rsidR="00D86B30" w:rsidRPr="00F52025" w:rsidRDefault="00D86B30" w:rsidP="00D86B30">
      <w:pPr>
        <w:pStyle w:val="FootnoteText"/>
        <w:bidi w:val="0"/>
        <w:jc w:val="both"/>
        <w:rPr>
          <w:rFonts w:ascii="Sylfaen" w:hAnsi="Sylfaen"/>
          <w:sz w:val="32"/>
          <w:szCs w:val="32"/>
          <w:lang w:val="ka-GE"/>
        </w:rPr>
      </w:pPr>
      <w:r w:rsidRPr="00F52025">
        <w:rPr>
          <w:rStyle w:val="FootnoteReference"/>
          <w:sz w:val="32"/>
          <w:szCs w:val="32"/>
        </w:rPr>
        <w:footnoteRef/>
      </w:r>
      <w:r w:rsidRPr="00F52025">
        <w:rPr>
          <w:sz w:val="32"/>
          <w:szCs w:val="32"/>
          <w:rtl/>
        </w:rPr>
        <w:t xml:space="preserve"> </w:t>
      </w:r>
      <w:r w:rsidRPr="00F52025">
        <w:rPr>
          <w:rFonts w:ascii="Sylfaen" w:hAnsi="Sylfaen"/>
          <w:sz w:val="32"/>
          <w:szCs w:val="32"/>
          <w:lang w:val="ka-GE"/>
        </w:rPr>
        <w:t>ალ-ფეთაავაა’ლ-ქუბრა, ტ. 2, გვ. 239.</w:t>
      </w:r>
    </w:p>
  </w:footnote>
  <w:footnote w:id="6">
    <w:p w:rsidR="0039296C" w:rsidRPr="00F52025" w:rsidRDefault="0039296C" w:rsidP="0039296C">
      <w:pPr>
        <w:pStyle w:val="FootnoteText"/>
        <w:bidi w:val="0"/>
        <w:jc w:val="both"/>
        <w:rPr>
          <w:rFonts w:ascii="Sylfaen" w:hAnsi="Sylfaen"/>
          <w:sz w:val="32"/>
          <w:szCs w:val="32"/>
          <w:lang w:val="ka-GE"/>
        </w:rPr>
      </w:pPr>
      <w:r w:rsidRPr="00F52025">
        <w:rPr>
          <w:rStyle w:val="FootnoteReference"/>
          <w:sz w:val="32"/>
          <w:szCs w:val="32"/>
        </w:rPr>
        <w:footnoteRef/>
      </w:r>
      <w:r w:rsidRPr="00F52025">
        <w:rPr>
          <w:sz w:val="32"/>
          <w:szCs w:val="32"/>
          <w:rtl/>
        </w:rPr>
        <w:t xml:space="preserve"> </w:t>
      </w:r>
      <w:r w:rsidRPr="00F52025">
        <w:rPr>
          <w:rFonts w:ascii="Sylfaen" w:hAnsi="Sylfaen"/>
          <w:sz w:val="32"/>
          <w:szCs w:val="32"/>
          <w:lang w:val="ka-GE"/>
        </w:rPr>
        <w:t xml:space="preserve"> ალ-ფეთაავაა’ლ-ქუბრა, ტ. 2, გვ. 262.</w:t>
      </w:r>
    </w:p>
  </w:footnote>
  <w:footnote w:id="7">
    <w:p w:rsidR="00BD5341" w:rsidRPr="00F52025" w:rsidRDefault="00BD5341" w:rsidP="00BD5341">
      <w:pPr>
        <w:pStyle w:val="FootnoteText"/>
        <w:bidi w:val="0"/>
        <w:jc w:val="both"/>
        <w:rPr>
          <w:rFonts w:ascii="Sylfaen" w:hAnsi="Sylfaen"/>
          <w:sz w:val="32"/>
          <w:szCs w:val="32"/>
          <w:lang w:val="ka-GE"/>
        </w:rPr>
      </w:pPr>
      <w:r w:rsidRPr="00F52025">
        <w:rPr>
          <w:rStyle w:val="FootnoteReference"/>
          <w:sz w:val="32"/>
          <w:szCs w:val="32"/>
        </w:rPr>
        <w:footnoteRef/>
      </w:r>
      <w:r w:rsidRPr="00F52025">
        <w:rPr>
          <w:sz w:val="32"/>
          <w:szCs w:val="32"/>
          <w:rtl/>
        </w:rPr>
        <w:t xml:space="preserve"> </w:t>
      </w:r>
      <w:r w:rsidRPr="00F52025">
        <w:rPr>
          <w:rFonts w:ascii="Sylfaen" w:hAnsi="Sylfaen"/>
          <w:sz w:val="32"/>
          <w:szCs w:val="32"/>
          <w:lang w:val="ka-GE"/>
        </w:rPr>
        <w:t xml:space="preserve"> ფიყჰის ენციკლოპედია, ტ. 22, გვ. 262.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lang w:bidi="ug-CN"/>
      </w:rPr>
      <mc:AlternateContent>
        <mc:Choice Requires="wpg">
          <w:drawing>
            <wp:anchor distT="0" distB="0" distL="114300" distR="114300" simplePos="0" relativeHeight="251664896" behindDoc="0" locked="0" layoutInCell="1" allowOverlap="1" wp14:anchorId="76816784" wp14:editId="5D6D3374">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12550">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16784"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12550">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lang w:bidi="ug-CN"/>
      </w:rPr>
      <mc:AlternateContent>
        <mc:Choice Requires="wpg">
          <w:drawing>
            <wp:anchor distT="0" distB="0" distL="114300" distR="114300" simplePos="0" relativeHeight="251661824" behindDoc="0" locked="0" layoutInCell="1" allowOverlap="1" wp14:anchorId="415BD6C3" wp14:editId="7B4AC6B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D8FEEE"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52608" behindDoc="0" locked="0" layoutInCell="1" allowOverlap="1" wp14:anchorId="227273FA" wp14:editId="1BD81471">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7273FA"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lang w:bidi="ug-CN"/>
      </w:rPr>
      <mc:AlternateContent>
        <mc:Choice Requires="wpg">
          <w:drawing>
            <wp:anchor distT="0" distB="0" distL="114300" distR="114300" simplePos="0" relativeHeight="251658752" behindDoc="0" locked="0" layoutInCell="1" allowOverlap="1" wp14:anchorId="4B94E5A1" wp14:editId="2A3A1C4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B8482A"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231DA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2862"/>
    <w:rsid w:val="00014A18"/>
    <w:rsid w:val="00015687"/>
    <w:rsid w:val="00054A51"/>
    <w:rsid w:val="000A43B4"/>
    <w:rsid w:val="000A53B5"/>
    <w:rsid w:val="000A6307"/>
    <w:rsid w:val="000C2B16"/>
    <w:rsid w:val="000D5816"/>
    <w:rsid w:val="0013505A"/>
    <w:rsid w:val="0013579E"/>
    <w:rsid w:val="00152A14"/>
    <w:rsid w:val="0015465C"/>
    <w:rsid w:val="00154ADE"/>
    <w:rsid w:val="00171C08"/>
    <w:rsid w:val="00187D3B"/>
    <w:rsid w:val="001A0D79"/>
    <w:rsid w:val="001B09E4"/>
    <w:rsid w:val="001D5361"/>
    <w:rsid w:val="001F14F0"/>
    <w:rsid w:val="001F4E86"/>
    <w:rsid w:val="002219E3"/>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296C"/>
    <w:rsid w:val="003947B2"/>
    <w:rsid w:val="00395C53"/>
    <w:rsid w:val="003A526E"/>
    <w:rsid w:val="003C74CF"/>
    <w:rsid w:val="003D592D"/>
    <w:rsid w:val="003E1AC6"/>
    <w:rsid w:val="00430D0B"/>
    <w:rsid w:val="00434012"/>
    <w:rsid w:val="00434B4A"/>
    <w:rsid w:val="00437EF4"/>
    <w:rsid w:val="00447180"/>
    <w:rsid w:val="00447B55"/>
    <w:rsid w:val="00451428"/>
    <w:rsid w:val="004554F2"/>
    <w:rsid w:val="00477478"/>
    <w:rsid w:val="004B4BC4"/>
    <w:rsid w:val="004B5BEF"/>
    <w:rsid w:val="004C1156"/>
    <w:rsid w:val="004E2AD6"/>
    <w:rsid w:val="004E2DC3"/>
    <w:rsid w:val="004E38A0"/>
    <w:rsid w:val="004E78EF"/>
    <w:rsid w:val="004F6F83"/>
    <w:rsid w:val="00507AEF"/>
    <w:rsid w:val="005172B7"/>
    <w:rsid w:val="00536D3B"/>
    <w:rsid w:val="005612D0"/>
    <w:rsid w:val="005666DC"/>
    <w:rsid w:val="00575281"/>
    <w:rsid w:val="0058544F"/>
    <w:rsid w:val="005A2707"/>
    <w:rsid w:val="005B14E2"/>
    <w:rsid w:val="005E2209"/>
    <w:rsid w:val="00604920"/>
    <w:rsid w:val="00612550"/>
    <w:rsid w:val="00612832"/>
    <w:rsid w:val="00631E7F"/>
    <w:rsid w:val="00632FB4"/>
    <w:rsid w:val="00661423"/>
    <w:rsid w:val="00662A2B"/>
    <w:rsid w:val="00670C5E"/>
    <w:rsid w:val="00677AE4"/>
    <w:rsid w:val="0069533C"/>
    <w:rsid w:val="0069658E"/>
    <w:rsid w:val="006A5AA9"/>
    <w:rsid w:val="006A6C91"/>
    <w:rsid w:val="006C1068"/>
    <w:rsid w:val="006E0420"/>
    <w:rsid w:val="006F4219"/>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2582"/>
    <w:rsid w:val="008C5507"/>
    <w:rsid w:val="008D70C8"/>
    <w:rsid w:val="008E2038"/>
    <w:rsid w:val="008F528B"/>
    <w:rsid w:val="00912D68"/>
    <w:rsid w:val="00932F1D"/>
    <w:rsid w:val="009407E8"/>
    <w:rsid w:val="00943955"/>
    <w:rsid w:val="00944C90"/>
    <w:rsid w:val="0094547A"/>
    <w:rsid w:val="009967F9"/>
    <w:rsid w:val="009A6560"/>
    <w:rsid w:val="00A03054"/>
    <w:rsid w:val="00A052E1"/>
    <w:rsid w:val="00A144A4"/>
    <w:rsid w:val="00A61E5C"/>
    <w:rsid w:val="00A65935"/>
    <w:rsid w:val="00AA44A9"/>
    <w:rsid w:val="00AD0A6F"/>
    <w:rsid w:val="00AD2A33"/>
    <w:rsid w:val="00AF419C"/>
    <w:rsid w:val="00B3510F"/>
    <w:rsid w:val="00B50A3A"/>
    <w:rsid w:val="00B51960"/>
    <w:rsid w:val="00B5624A"/>
    <w:rsid w:val="00B5667F"/>
    <w:rsid w:val="00B572EF"/>
    <w:rsid w:val="00B71881"/>
    <w:rsid w:val="00B820AA"/>
    <w:rsid w:val="00B867C5"/>
    <w:rsid w:val="00B962D1"/>
    <w:rsid w:val="00BA456F"/>
    <w:rsid w:val="00BD0F72"/>
    <w:rsid w:val="00BD190F"/>
    <w:rsid w:val="00BD5341"/>
    <w:rsid w:val="00BE3A50"/>
    <w:rsid w:val="00BF04A9"/>
    <w:rsid w:val="00C022F8"/>
    <w:rsid w:val="00C03201"/>
    <w:rsid w:val="00C21104"/>
    <w:rsid w:val="00C37C22"/>
    <w:rsid w:val="00C45A48"/>
    <w:rsid w:val="00C50098"/>
    <w:rsid w:val="00C72BD4"/>
    <w:rsid w:val="00C90E54"/>
    <w:rsid w:val="00CD4735"/>
    <w:rsid w:val="00D02F6A"/>
    <w:rsid w:val="00D272A0"/>
    <w:rsid w:val="00D46176"/>
    <w:rsid w:val="00D61EFA"/>
    <w:rsid w:val="00D7109D"/>
    <w:rsid w:val="00D85A5F"/>
    <w:rsid w:val="00D86B30"/>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C78D3"/>
    <w:rsid w:val="00EF04E8"/>
    <w:rsid w:val="00EF489A"/>
    <w:rsid w:val="00F11B8A"/>
    <w:rsid w:val="00F14FCB"/>
    <w:rsid w:val="00F17ADE"/>
    <w:rsid w:val="00F2420A"/>
    <w:rsid w:val="00F25412"/>
    <w:rsid w:val="00F3173B"/>
    <w:rsid w:val="00F4539F"/>
    <w:rsid w:val="00F52025"/>
    <w:rsid w:val="00F80820"/>
    <w:rsid w:val="00F860D0"/>
    <w:rsid w:val="00F864DD"/>
    <w:rsid w:val="00FA6F75"/>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AF6ADC-5B88-4202-B895-5EBEEEA3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link w:val="Heading3Char"/>
    <w:uiPriority w:val="9"/>
    <w:qFormat/>
    <w:rsid w:val="005E2209"/>
    <w:pPr>
      <w:bidi w:val="0"/>
      <w:spacing w:before="100" w:beforeAutospacing="1" w:after="100" w:afterAutospacing="1" w:line="240" w:lineRule="auto"/>
      <w:outlineLvl w:val="2"/>
    </w:pPr>
    <w:rPr>
      <w:rFonts w:ascii="Times New Roman" w:eastAsia="Times New Roman" w:hAnsi="Times New Roman" w:cs="Times New Roman"/>
      <w:b/>
      <w:bCs/>
      <w:sz w:val="27"/>
      <w:szCs w:val="27"/>
      <w:lang w:bidi="ug-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 w:type="character" w:customStyle="1" w:styleId="divx11">
    <w:name w:val="divx11"/>
    <w:basedOn w:val="DefaultParagraphFont"/>
    <w:rsid w:val="005612D0"/>
    <w:rPr>
      <w:color w:val="800000"/>
      <w:sz w:val="26"/>
      <w:szCs w:val="26"/>
    </w:rPr>
  </w:style>
  <w:style w:type="character" w:customStyle="1" w:styleId="Heading3Char">
    <w:name w:val="Heading 3 Char"/>
    <w:basedOn w:val="DefaultParagraphFont"/>
    <w:link w:val="Heading3"/>
    <w:uiPriority w:val="9"/>
    <w:rsid w:val="005E2209"/>
    <w:rPr>
      <w:rFonts w:ascii="Times New Roman" w:eastAsia="Times New Roman" w:hAnsi="Times New Roman" w:cs="Times New Roman"/>
      <w:b/>
      <w:bCs/>
      <w:sz w:val="27"/>
      <w:szCs w:val="27"/>
      <w:lang w:bidi="ug-CN"/>
    </w:rPr>
  </w:style>
  <w:style w:type="character" w:customStyle="1" w:styleId="apple-converted-space">
    <w:name w:val="apple-converted-space"/>
    <w:basedOn w:val="DefaultParagraphFont"/>
    <w:rsid w:val="005E2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 w:id="88448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5E5D0-10E3-4D26-A427-BF78E5B6D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886</Words>
  <Characters>5056</Characters>
  <Application>Microsoft Office Word</Application>
  <DocSecurity>0</DocSecurity>
  <Lines>42</Lines>
  <Paragraphs>11</Paragraphs>
  <ScaleCrop>false</ScaleCrop>
  <HeadingPairs>
    <vt:vector size="6" baseType="variant">
      <vt:variant>
        <vt:lpstr>Title</vt:lpstr>
      </vt:variant>
      <vt:variant>
        <vt:i4>1</vt:i4>
      </vt:variant>
      <vt:variant>
        <vt:lpstr>Konu Başlığı</vt:lpstr>
      </vt:variant>
      <vt:variant>
        <vt:i4>1</vt:i4>
      </vt:variant>
      <vt:variant>
        <vt:lpstr>العنوان</vt:lpstr>
      </vt:variant>
      <vt:variant>
        <vt:i4>1</vt:i4>
      </vt:variant>
    </vt:vector>
  </HeadingPairs>
  <TitlesOfParts>
    <vt:vector size="3" baseType="lpstr">
      <vt:lpstr>რეღაიბის ღამის ბიდათი ნამაზი</vt:lpstr>
      <vt:lpstr/>
      <vt:lpstr/>
    </vt:vector>
  </TitlesOfParts>
  <Manager/>
  <Company>islamhouse.com</Company>
  <LinksUpToDate>false</LinksUpToDate>
  <CharactersWithSpaces>5931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რეღაიბის ღამის ბიდათი ნამაზი</dc:title>
  <dc:subject>რეღაიბის ღამის ბიდათი ნამაზი</dc:subject>
  <dc:creator>მუჰამმედ სალიჰ ალ-მუნაჯჯიდ</dc:creator>
  <cp:keywords>რეღაიბის ღამის ბიდათი ნამაზი</cp:keywords>
  <dc:description>რეღაიბის ღამის ბიდათი ნამაზი</dc:description>
  <cp:lastModifiedBy>Mahmoud</cp:lastModifiedBy>
  <cp:revision>10</cp:revision>
  <cp:lastPrinted>2016-12-10T18:27:00Z</cp:lastPrinted>
  <dcterms:created xsi:type="dcterms:W3CDTF">2016-04-07T16:23:00Z</dcterms:created>
  <dcterms:modified xsi:type="dcterms:W3CDTF">2016-12-10T18:28:00Z</dcterms:modified>
  <cp:category/>
</cp:coreProperties>
</file>