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2E5" w:rsidRPr="00755C1B" w:rsidRDefault="00DA02E5" w:rsidP="00DA02E5">
      <w:pPr>
        <w:bidi w:val="0"/>
        <w:jc w:val="center"/>
        <w:rPr>
          <w:rFonts w:ascii="Calibri" w:eastAsia="SimHei" w:hAnsi="Calibri"/>
          <w:color w:val="800000"/>
          <w:sz w:val="28"/>
          <w:szCs w:val="22"/>
          <w:rtl/>
          <w:lang w:eastAsia="zh-CN" w:bidi="ar-EG"/>
        </w:rPr>
      </w:pPr>
      <w:bookmarkStart w:id="0" w:name="OLE_LINK1"/>
      <w:bookmarkStart w:id="1" w:name="OLE_LINK2"/>
    </w:p>
    <w:p w:rsidR="00C07B65" w:rsidRPr="00393D5B" w:rsidRDefault="00393D5B" w:rsidP="00300E8D">
      <w:pPr>
        <w:bidi w:val="0"/>
        <w:jc w:val="center"/>
        <w:rPr>
          <w:rFonts w:ascii="SimHei" w:eastAsia="SimHei" w:hAnsi="SimHei"/>
          <w:b/>
          <w:bCs/>
          <w:color w:val="800000"/>
          <w:sz w:val="36"/>
          <w:lang w:eastAsia="zh-CN"/>
        </w:rPr>
      </w:pPr>
      <w:bookmarkStart w:id="2" w:name="_GoBack"/>
      <w:r w:rsidRPr="00393D5B">
        <w:rPr>
          <w:rFonts w:hint="eastAsia"/>
          <w:b/>
          <w:bCs/>
          <w:color w:val="943634" w:themeColor="accent2" w:themeShade="BF"/>
          <w:sz w:val="36"/>
          <w:lang w:eastAsia="zh-CN"/>
        </w:rPr>
        <w:t>应依靠寻见新月，而非天文计算</w:t>
      </w:r>
      <w:bookmarkEnd w:id="2"/>
    </w:p>
    <w:bookmarkEnd w:id="0"/>
    <w:bookmarkEnd w:id="1"/>
    <w:p w:rsidR="00777A72" w:rsidRPr="00FF4CDC" w:rsidRDefault="00777A72" w:rsidP="00777A72">
      <w:pPr>
        <w:bidi w:val="0"/>
        <w:jc w:val="center"/>
        <w:rPr>
          <w:rFonts w:ascii="Calibri" w:hAnsi="Calibri" w:cs="KFGQPC Uthman Taha Naskh"/>
          <w:sz w:val="22"/>
          <w:szCs w:val="22"/>
          <w:lang w:eastAsia="zh-CN" w:bidi="ar-EG"/>
        </w:rPr>
      </w:pPr>
      <w:r w:rsidRPr="00FF4CDC">
        <w:rPr>
          <w:rFonts w:cs="KFGQPC Uthman Taha Naskh" w:hint="cs"/>
          <w:sz w:val="22"/>
          <w:szCs w:val="22"/>
          <w:rtl/>
        </w:rPr>
        <w:t>]</w:t>
      </w:r>
      <w:r w:rsidRPr="00FF4CDC">
        <w:rPr>
          <w:rFonts w:cs="KFGQPC Uthman Taha Naskh" w:hint="eastAsia"/>
          <w:sz w:val="22"/>
          <w:szCs w:val="22"/>
          <w:lang w:eastAsia="zh-CN"/>
        </w:rPr>
        <w:t xml:space="preserve"> </w:t>
      </w:r>
      <w:r w:rsidRPr="00755C1B">
        <w:rPr>
          <w:rFonts w:ascii="Calibri" w:eastAsia="MS UI Gothic" w:hAnsi="Calibri" w:cs="KFGQPC Uthman Taha Naskh"/>
          <w:b/>
          <w:bCs/>
          <w:sz w:val="22"/>
          <w:szCs w:val="22"/>
          <w:lang w:eastAsia="zh-CN" w:bidi="ar-EG"/>
        </w:rPr>
        <w:t>中文</w:t>
      </w:r>
      <w:r w:rsidRPr="00FF4CDC">
        <w:rPr>
          <w:rFonts w:ascii="Calibri" w:eastAsia="MS UI Gothic" w:hAnsi="Calibri" w:cs="KFGQPC Uthman Taha Naskh"/>
          <w:sz w:val="22"/>
          <w:szCs w:val="22"/>
          <w:lang w:eastAsia="zh-CN" w:bidi="ar-EG"/>
        </w:rPr>
        <w:t xml:space="preserve"> –</w:t>
      </w:r>
      <w:r w:rsidRPr="00FF4CDC">
        <w:rPr>
          <w:rFonts w:ascii="Calibri" w:hAnsi="Calibri" w:cs="KFGQPC Uthman Taha Naskh" w:hint="eastAsia"/>
          <w:sz w:val="22"/>
          <w:szCs w:val="22"/>
          <w:lang w:eastAsia="zh-CN" w:bidi="ar-EG"/>
        </w:rPr>
        <w:t xml:space="preserve">  </w:t>
      </w:r>
      <w:r w:rsidRPr="00FF4CDC">
        <w:rPr>
          <w:rFonts w:ascii="Calibri" w:eastAsia="MS UI Gothic" w:hAnsi="Calibri" w:cs="KFGQPC Uthman Taha Naskh"/>
          <w:sz w:val="22"/>
          <w:szCs w:val="22"/>
          <w:lang w:eastAsia="zh-CN" w:bidi="ar-EG"/>
        </w:rPr>
        <w:t xml:space="preserve">Chinese - </w:t>
      </w:r>
      <w:r w:rsidRPr="00FF4CDC">
        <w:rPr>
          <w:rFonts w:ascii="Calibri" w:eastAsia="MS UI Gothic" w:hAnsi="Calibri" w:cs="KFGQPC Uthman Taha Naskh"/>
          <w:sz w:val="22"/>
          <w:szCs w:val="22"/>
          <w:rtl/>
          <w:lang w:bidi="ar-EG"/>
        </w:rPr>
        <w:t>صيني</w:t>
      </w:r>
      <w:r w:rsidRPr="00FF4CDC">
        <w:rPr>
          <w:rFonts w:ascii="Calibri" w:eastAsia="MS UI Gothic" w:hAnsi="Calibri" w:cs="KFGQPC Uthman Taha Naskh"/>
          <w:sz w:val="22"/>
          <w:szCs w:val="22"/>
          <w:lang w:eastAsia="zh-CN" w:bidi="ar-EG"/>
        </w:rPr>
        <w:t xml:space="preserve"> ]</w:t>
      </w:r>
    </w:p>
    <w:p w:rsidR="00C07B65" w:rsidRDefault="00C07B65" w:rsidP="00C07B65">
      <w:pPr>
        <w:bidi w:val="0"/>
        <w:spacing w:before="150" w:after="150" w:line="284" w:lineRule="atLeast"/>
        <w:jc w:val="center"/>
        <w:rPr>
          <w:rStyle w:val="divx11"/>
          <w:rFonts w:ascii="Calibri" w:hAnsi="Calibri" w:cs="KFGQPC Uthman Taha Naskh"/>
          <w:b/>
          <w:bCs/>
          <w:sz w:val="22"/>
          <w:szCs w:val="22"/>
          <w:lang w:eastAsia="zh-CN"/>
        </w:rPr>
      </w:pPr>
    </w:p>
    <w:p w:rsidR="00777A72" w:rsidRDefault="00777A72" w:rsidP="00777A72">
      <w:pPr>
        <w:bidi w:val="0"/>
        <w:spacing w:before="150" w:after="150" w:line="284" w:lineRule="atLeast"/>
        <w:jc w:val="center"/>
        <w:rPr>
          <w:rStyle w:val="divx11"/>
          <w:rFonts w:ascii="Calibri" w:hAnsi="Calibri" w:cs="KFGQPC Uthman Taha Naskh"/>
          <w:b/>
          <w:bCs/>
          <w:sz w:val="22"/>
          <w:szCs w:val="22"/>
          <w:lang w:eastAsia="zh-CN"/>
        </w:rPr>
      </w:pPr>
    </w:p>
    <w:p w:rsidR="00755C1B" w:rsidRPr="008170A0" w:rsidRDefault="00755C1B" w:rsidP="00755C1B">
      <w:pPr>
        <w:bidi w:val="0"/>
        <w:spacing w:before="150" w:after="150" w:line="284" w:lineRule="atLeast"/>
        <w:jc w:val="center"/>
        <w:rPr>
          <w:rStyle w:val="divx11"/>
          <w:rFonts w:ascii="Calibri" w:hAnsi="Calibri" w:cs="KFGQPC Uthman Taha Naskh"/>
          <w:b/>
          <w:bCs/>
          <w:sz w:val="22"/>
          <w:szCs w:val="22"/>
          <w:rtl/>
        </w:rPr>
      </w:pPr>
    </w:p>
    <w:p w:rsidR="00777A72" w:rsidRDefault="00C07B65" w:rsidP="00777A72">
      <w:pPr>
        <w:bidi w:val="0"/>
        <w:spacing w:before="150" w:after="150" w:line="284" w:lineRule="atLeast"/>
        <w:jc w:val="center"/>
        <w:rPr>
          <w:b/>
          <w:bCs/>
          <w:sz w:val="30"/>
          <w:lang w:eastAsia="zh-CN"/>
        </w:rPr>
      </w:pPr>
      <w:r w:rsidRPr="00755C1B">
        <w:rPr>
          <w:rFonts w:hint="eastAsia"/>
          <w:b/>
          <w:bCs/>
          <w:sz w:val="30"/>
          <w:lang w:eastAsia="zh-CN"/>
        </w:rPr>
        <w:t>筛海</w:t>
      </w:r>
      <w:r w:rsidRPr="00755C1B">
        <w:rPr>
          <w:rFonts w:hint="eastAsia"/>
          <w:b/>
          <w:bCs/>
          <w:sz w:val="30"/>
          <w:lang w:eastAsia="zh-CN"/>
        </w:rPr>
        <w:t xml:space="preserve">  </w:t>
      </w:r>
      <w:r w:rsidRPr="00755C1B">
        <w:rPr>
          <w:rFonts w:hint="eastAsia"/>
          <w:b/>
          <w:bCs/>
          <w:sz w:val="30"/>
          <w:lang w:eastAsia="zh-CN"/>
        </w:rPr>
        <w:t>穆罕穆德</w:t>
      </w:r>
      <w:r w:rsidRPr="00755C1B">
        <w:rPr>
          <w:rFonts w:hint="eastAsia"/>
          <w:b/>
          <w:bCs/>
          <w:sz w:val="30"/>
          <w:lang w:eastAsia="zh-CN"/>
        </w:rPr>
        <w:t>-</w:t>
      </w:r>
      <w:r w:rsidRPr="00755C1B">
        <w:rPr>
          <w:rFonts w:hint="eastAsia"/>
          <w:b/>
          <w:bCs/>
          <w:sz w:val="30"/>
          <w:lang w:eastAsia="zh-CN"/>
        </w:rPr>
        <w:t>萨利哈</w:t>
      </w:r>
      <w:r w:rsidRPr="00755C1B">
        <w:rPr>
          <w:rFonts w:hint="eastAsia"/>
          <w:b/>
          <w:bCs/>
          <w:sz w:val="30"/>
          <w:lang w:eastAsia="zh-CN"/>
        </w:rPr>
        <w:t>-</w:t>
      </w:r>
      <w:r w:rsidRPr="00755C1B">
        <w:rPr>
          <w:rFonts w:hint="eastAsia"/>
          <w:b/>
          <w:bCs/>
          <w:sz w:val="30"/>
          <w:lang w:eastAsia="zh-CN"/>
        </w:rPr>
        <w:t>麦基德</w:t>
      </w:r>
    </w:p>
    <w:p w:rsidR="002903F1" w:rsidRDefault="002903F1" w:rsidP="002903F1">
      <w:pPr>
        <w:bidi w:val="0"/>
        <w:spacing w:before="150" w:after="150" w:line="284" w:lineRule="atLeast"/>
        <w:jc w:val="center"/>
        <w:rPr>
          <w:b/>
          <w:bCs/>
          <w:sz w:val="30"/>
          <w:lang w:eastAsia="zh-CN"/>
        </w:rPr>
      </w:pPr>
      <w:r w:rsidRPr="00E91149">
        <w:rPr>
          <w:rStyle w:val="divx11"/>
          <w:rFonts w:ascii="Calibri" w:hAnsi="Calibri" w:cs="KFGQPC Uthman Taha Naskh" w:hint="eastAsia"/>
          <w:b/>
          <w:bCs/>
          <w:color w:val="auto"/>
          <w:sz w:val="32"/>
          <w:szCs w:val="32"/>
          <w:lang w:eastAsia="zh-CN"/>
        </w:rPr>
        <w:t>科学研究、法学、宣传教育常委会</w:t>
      </w:r>
    </w:p>
    <w:p w:rsidR="00F96CAF" w:rsidRDefault="00F96CAF" w:rsidP="002903F1">
      <w:pPr>
        <w:bidi w:val="0"/>
        <w:spacing w:before="150" w:after="150" w:line="284" w:lineRule="atLeast"/>
        <w:rPr>
          <w:rStyle w:val="divx11"/>
          <w:rFonts w:ascii="Calibri" w:hAnsi="Calibri" w:cs="KFGQPC Uthman Taha Naskh"/>
          <w:b/>
          <w:bCs/>
          <w:sz w:val="20"/>
          <w:szCs w:val="18"/>
          <w:lang w:eastAsia="zh-CN"/>
        </w:rPr>
      </w:pPr>
    </w:p>
    <w:p w:rsidR="00755C1B" w:rsidRPr="00755C1B" w:rsidRDefault="00755C1B" w:rsidP="00E91149">
      <w:pPr>
        <w:bidi w:val="0"/>
        <w:spacing w:before="150" w:after="150" w:line="284" w:lineRule="atLeast"/>
        <w:rPr>
          <w:rStyle w:val="divx11"/>
          <w:rFonts w:ascii="Calibri" w:hAnsi="Calibri" w:cs="KFGQPC Uthman Taha Naskh"/>
          <w:b/>
          <w:bCs/>
          <w:sz w:val="20"/>
          <w:szCs w:val="18"/>
          <w:rtl/>
          <w:lang w:eastAsia="zh-CN"/>
        </w:rPr>
      </w:pPr>
    </w:p>
    <w:p w:rsidR="00777A72" w:rsidRPr="00C07B65" w:rsidRDefault="00777A72" w:rsidP="002A6864">
      <w:pPr>
        <w:spacing w:line="240" w:lineRule="exact"/>
        <w:jc w:val="center"/>
        <w:rPr>
          <w:rFonts w:ascii="STXinwei" w:eastAsia="STXinwei" w:hAnsi="SimSun"/>
          <w:kern w:val="28"/>
          <w:sz w:val="18"/>
          <w:szCs w:val="18"/>
          <w:lang w:eastAsia="zh-CN"/>
        </w:rPr>
      </w:pPr>
      <w:r w:rsidRPr="00FF4CDC">
        <w:rPr>
          <w:rStyle w:val="divx11"/>
          <w:rFonts w:ascii="STXinwei" w:eastAsia="STXinwei" w:hAnsi="Calibri" w:cs="KFGQPC Uthman Taha Naskh" w:hint="eastAsia"/>
          <w:b/>
          <w:bCs/>
          <w:sz w:val="28"/>
          <w:szCs w:val="28"/>
          <w:lang w:eastAsia="zh-CN"/>
        </w:rPr>
        <w:t>翻译</w:t>
      </w:r>
      <w:r w:rsidR="002A6864">
        <w:rPr>
          <w:rStyle w:val="divx11"/>
          <w:rFonts w:hAnsi="Calibri" w:cs="KFGQPC Uthman Taha Naskh"/>
          <w:b/>
          <w:bCs/>
          <w:kern w:val="2"/>
          <w:sz w:val="18"/>
          <w:szCs w:val="18"/>
          <w:lang w:eastAsia="zh-CN"/>
        </w:rPr>
        <w:t>:</w:t>
      </w:r>
      <w:r w:rsidR="002A6864" w:rsidRPr="003B2CBA">
        <w:rPr>
          <w:rFonts w:cs="KFGQPC Uthman Taha Naskh"/>
          <w:sz w:val="28"/>
          <w:szCs w:val="28"/>
          <w:lang w:eastAsia="zh-CN"/>
        </w:rPr>
        <w:t xml:space="preserve"> www.islamqa.info</w:t>
      </w:r>
    </w:p>
    <w:p w:rsidR="00777A72" w:rsidRPr="00FF4CDC" w:rsidRDefault="00777A72" w:rsidP="00F96CAF">
      <w:pPr>
        <w:bidi w:val="0"/>
        <w:spacing w:before="150" w:after="150" w:line="284" w:lineRule="atLeast"/>
        <w:rPr>
          <w:rStyle w:val="divx11"/>
          <w:sz w:val="22"/>
          <w:szCs w:val="22"/>
          <w:rtl/>
          <w:lang w:eastAsia="zh-CN"/>
        </w:rPr>
      </w:pPr>
    </w:p>
    <w:p w:rsidR="00E91149" w:rsidRDefault="00E91149" w:rsidP="00E91149">
      <w:pPr>
        <w:bidi w:val="0"/>
        <w:jc w:val="center"/>
        <w:rPr>
          <w:rFonts w:ascii="Calibri" w:hAnsi="Calibri" w:cs="KFGQPC Uthman Taha Naskh"/>
          <w:sz w:val="20"/>
          <w:szCs w:val="20"/>
          <w:lang w:eastAsia="zh-CN"/>
        </w:rPr>
      </w:pPr>
    </w:p>
    <w:p w:rsidR="002903F1" w:rsidRDefault="002903F1" w:rsidP="002903F1">
      <w:pPr>
        <w:bidi w:val="0"/>
        <w:jc w:val="center"/>
        <w:rPr>
          <w:rFonts w:ascii="Calibri" w:hAnsi="Calibri" w:cs="KFGQPC Uthman Taha Naskh"/>
          <w:sz w:val="20"/>
          <w:szCs w:val="20"/>
          <w:lang w:eastAsia="zh-CN"/>
        </w:rPr>
      </w:pPr>
    </w:p>
    <w:p w:rsidR="00DA02E5" w:rsidRDefault="00DA02E5" w:rsidP="00DA02E5">
      <w:pPr>
        <w:bidi w:val="0"/>
        <w:jc w:val="center"/>
        <w:rPr>
          <w:rFonts w:ascii="Calibri" w:hAnsi="Calibri" w:cs="KFGQPC Uthman Taha Naskh"/>
          <w:sz w:val="20"/>
          <w:szCs w:val="20"/>
          <w:lang w:eastAsia="zh-CN"/>
        </w:rPr>
      </w:pPr>
    </w:p>
    <w:p w:rsidR="00777A72" w:rsidRPr="00755C1B" w:rsidRDefault="00777A72" w:rsidP="00755C1B">
      <w:pPr>
        <w:jc w:val="center"/>
        <w:rPr>
          <w:rFonts w:cs="Times New Roman"/>
          <w:szCs w:val="24"/>
        </w:rPr>
      </w:pPr>
      <w:r w:rsidRPr="00755C1B">
        <w:rPr>
          <w:rFonts w:cs="Times New Roman"/>
          <w:szCs w:val="24"/>
        </w:rPr>
        <w:t>2012 - 1433</w:t>
      </w:r>
    </w:p>
    <w:p w:rsidR="00777A72" w:rsidRPr="00755C1B" w:rsidRDefault="007C6338" w:rsidP="00755C1B">
      <w:pPr>
        <w:jc w:val="center"/>
        <w:rPr>
          <w:rFonts w:cs="Times New Roman"/>
          <w:b/>
          <w:bCs/>
          <w:color w:val="800000"/>
          <w:szCs w:val="40"/>
          <w:rtl/>
          <w:lang w:bidi="ar-EG"/>
        </w:rPr>
        <w:sectPr w:rsidR="00777A72" w:rsidRPr="00755C1B" w:rsidSect="00755C1B"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footnotePr>
            <w:numFmt w:val="decimalEnclosedCircleChinese"/>
            <w:numRestart w:val="eachPage"/>
          </w:footnotePr>
          <w:pgSz w:w="6803" w:h="9638"/>
          <w:pgMar w:top="567" w:right="567" w:bottom="567" w:left="850" w:header="567" w:footer="425" w:gutter="0"/>
          <w:cols w:space="708"/>
          <w:titlePg/>
          <w:docGrid w:linePitch="360"/>
        </w:sectPr>
      </w:pPr>
      <w:r>
        <w:rPr>
          <w:rFonts w:cs="Times New Roman"/>
          <w:noProof/>
          <w:lang w:eastAsia="zh-CN"/>
        </w:rPr>
        <w:drawing>
          <wp:inline distT="0" distB="0" distL="0" distR="0">
            <wp:extent cx="1803400" cy="273050"/>
            <wp:effectExtent l="0" t="0" r="6350" b="0"/>
            <wp:docPr id="1" name="صورة 1" descr="logo_islamhous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logo_islamhou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A72" w:rsidRPr="00755C1B" w:rsidRDefault="00777A72" w:rsidP="00755C1B">
      <w:pPr>
        <w:jc w:val="center"/>
        <w:rPr>
          <w:sz w:val="16"/>
          <w:szCs w:val="22"/>
          <w:rtl/>
        </w:rPr>
      </w:pPr>
    </w:p>
    <w:p w:rsidR="00DA02E5" w:rsidRPr="00393D5B" w:rsidRDefault="00777A72" w:rsidP="00393D5B">
      <w:pPr>
        <w:tabs>
          <w:tab w:val="left" w:pos="-3150"/>
        </w:tabs>
        <w:jc w:val="center"/>
        <w:rPr>
          <w:rFonts w:cs="KFGQPC Uthman Taha Naskh"/>
          <w:b/>
          <w:bCs/>
          <w:color w:val="auto"/>
          <w:sz w:val="32"/>
          <w:szCs w:val="32"/>
          <w:rtl/>
        </w:rPr>
      </w:pPr>
      <w:r w:rsidRPr="00393D5B">
        <w:rPr>
          <w:rFonts w:cs="KFGQPC Uthman Taha Naskh" w:hint="cs"/>
          <w:b/>
          <w:bCs/>
          <w:color w:val="auto"/>
          <w:sz w:val="32"/>
          <w:szCs w:val="32"/>
          <w:rtl/>
        </w:rPr>
        <w:t>﴿</w:t>
      </w:r>
      <w:r w:rsidR="00DA02E5" w:rsidRPr="00393D5B">
        <w:rPr>
          <w:rFonts w:ascii="Arial" w:eastAsia="Times New Roman" w:hAnsi="Arial" w:cs="KFGQPC Uthman Taha Naskh" w:hint="cs"/>
          <w:b/>
          <w:bCs/>
          <w:color w:val="auto"/>
          <w:sz w:val="32"/>
          <w:szCs w:val="32"/>
          <w:rtl/>
        </w:rPr>
        <w:t xml:space="preserve"> </w:t>
      </w:r>
      <w:r w:rsidR="00393D5B" w:rsidRPr="00393D5B">
        <w:rPr>
          <w:b/>
          <w:bCs/>
          <w:rtl/>
        </w:rPr>
        <w:t>الاعتماد على رؤية الهلال وليس الحسابات الفلكية</w:t>
      </w:r>
      <w:r w:rsidR="002903F1" w:rsidRPr="00393D5B">
        <w:rPr>
          <w:rFonts w:cs="KFGQPC Uthman Taha Naskh"/>
          <w:b/>
          <w:bCs/>
          <w:color w:val="auto"/>
          <w:sz w:val="32"/>
          <w:szCs w:val="32"/>
        </w:rPr>
        <w:t xml:space="preserve"> </w:t>
      </w:r>
      <w:r w:rsidRPr="00393D5B">
        <w:rPr>
          <w:rFonts w:cs="KFGQPC Uthman Taha Naskh" w:hint="cs"/>
          <w:b/>
          <w:bCs/>
          <w:color w:val="auto"/>
          <w:sz w:val="32"/>
          <w:szCs w:val="32"/>
          <w:rtl/>
        </w:rPr>
        <w:t>﴾</w:t>
      </w:r>
    </w:p>
    <w:p w:rsidR="00777A72" w:rsidRPr="00FF4CDC" w:rsidRDefault="00777A72" w:rsidP="00777A72">
      <w:pPr>
        <w:jc w:val="center"/>
        <w:rPr>
          <w:rFonts w:ascii="Courier New" w:hAnsi="Courier New" w:cs="KFGQPC Uthman Taha Naskh"/>
          <w:b/>
          <w:bCs/>
          <w:color w:val="auto"/>
          <w:szCs w:val="24"/>
        </w:rPr>
      </w:pPr>
      <w:r w:rsidRPr="00FF4CDC">
        <w:rPr>
          <w:rFonts w:cs="KFGQPC Uthman Taha Naskh" w:hint="cs"/>
          <w:color w:val="auto"/>
          <w:szCs w:val="24"/>
          <w:rtl/>
        </w:rPr>
        <w:t>«</w:t>
      </w:r>
      <w:r>
        <w:rPr>
          <w:rFonts w:cs="KFGQPC Uthman Taha Naskh" w:hint="cs"/>
          <w:color w:val="auto"/>
          <w:szCs w:val="24"/>
          <w:rtl/>
        </w:rPr>
        <w:t xml:space="preserve"> باللغة الصينية</w:t>
      </w:r>
      <w:r w:rsidRPr="00FF4CDC">
        <w:rPr>
          <w:rFonts w:cs="KFGQPC Uthman Taha Naskh" w:hint="cs"/>
          <w:color w:val="auto"/>
          <w:szCs w:val="24"/>
          <w:rtl/>
        </w:rPr>
        <w:t xml:space="preserve"> »</w:t>
      </w:r>
    </w:p>
    <w:p w:rsidR="00C07B65" w:rsidRDefault="00C07B65" w:rsidP="00755C1B">
      <w:pPr>
        <w:bidi w:val="0"/>
        <w:jc w:val="center"/>
      </w:pPr>
    </w:p>
    <w:p w:rsidR="00755C1B" w:rsidRDefault="00755C1B" w:rsidP="00755C1B">
      <w:pPr>
        <w:bidi w:val="0"/>
        <w:jc w:val="center"/>
      </w:pPr>
    </w:p>
    <w:p w:rsidR="00755C1B" w:rsidRDefault="00755C1B" w:rsidP="00755C1B">
      <w:pPr>
        <w:bidi w:val="0"/>
        <w:jc w:val="center"/>
        <w:rPr>
          <w:sz w:val="48"/>
          <w:szCs w:val="72"/>
        </w:rPr>
      </w:pPr>
    </w:p>
    <w:p w:rsidR="003C285A" w:rsidRPr="00755C1B" w:rsidRDefault="003C285A" w:rsidP="003C285A">
      <w:pPr>
        <w:bidi w:val="0"/>
        <w:jc w:val="center"/>
      </w:pPr>
    </w:p>
    <w:p w:rsidR="00E91149" w:rsidRDefault="00C07B65" w:rsidP="00E91149">
      <w:pPr>
        <w:jc w:val="center"/>
        <w:rPr>
          <w:rStyle w:val="divx11"/>
          <w:rFonts w:ascii="Calibri" w:hAnsi="Calibri" w:cs="KFGQPC Uthman Taha Naskh"/>
          <w:color w:val="auto"/>
          <w:sz w:val="28"/>
          <w:szCs w:val="28"/>
          <w:rtl/>
        </w:rPr>
      </w:pPr>
      <w:r w:rsidRPr="00DA02E5">
        <w:rPr>
          <w:rFonts w:ascii="Arial" w:eastAsia="Times New Roman" w:hAnsi="Arial" w:cs="KFGQPC Uthman Taha Naskh"/>
          <w:color w:val="auto"/>
          <w:sz w:val="28"/>
          <w:szCs w:val="28"/>
          <w:rtl/>
        </w:rPr>
        <w:t>الشيخ محمد صالح المنجد</w:t>
      </w:r>
    </w:p>
    <w:p w:rsidR="002903F1" w:rsidRPr="00DA02E5" w:rsidRDefault="002903F1" w:rsidP="002903F1">
      <w:pPr>
        <w:jc w:val="center"/>
        <w:rPr>
          <w:rStyle w:val="divx11"/>
          <w:rFonts w:ascii="Calibri" w:hAnsi="Calibri" w:cs="KFGQPC Uthman Taha Naskh"/>
          <w:color w:val="auto"/>
          <w:sz w:val="28"/>
          <w:szCs w:val="28"/>
          <w:rtl/>
        </w:rPr>
      </w:pPr>
      <w:r w:rsidRPr="00E91149">
        <w:rPr>
          <w:rStyle w:val="divx11"/>
          <w:rFonts w:ascii="Calibri" w:hAnsi="Calibri" w:cs="KFGQPC Uthman Taha Naskh"/>
          <w:color w:val="auto"/>
          <w:sz w:val="28"/>
          <w:szCs w:val="28"/>
          <w:rtl/>
        </w:rPr>
        <w:t>اللجنة الدائمة للبحوث العلمية والإفتاء والدعوة والإرشاد</w:t>
      </w:r>
    </w:p>
    <w:p w:rsidR="0062783D" w:rsidRDefault="0062783D" w:rsidP="002903F1">
      <w:pPr>
        <w:spacing w:before="150" w:after="150" w:line="284" w:lineRule="atLeast"/>
        <w:rPr>
          <w:rStyle w:val="divx11"/>
          <w:rFonts w:ascii="Calibri" w:hAnsi="Calibri" w:cs="KFGQPC Uthman Taha Naskh"/>
          <w:color w:val="auto"/>
          <w:sz w:val="28"/>
          <w:szCs w:val="28"/>
          <w:rtl/>
        </w:rPr>
      </w:pPr>
    </w:p>
    <w:p w:rsidR="002903F1" w:rsidRDefault="002903F1" w:rsidP="002903F1">
      <w:pPr>
        <w:spacing w:before="150" w:after="150" w:line="284" w:lineRule="atLeast"/>
        <w:rPr>
          <w:rStyle w:val="divx11"/>
          <w:rFonts w:ascii="Calibri" w:hAnsi="Calibri" w:cs="KFGQPC Uthman Taha Naskh"/>
          <w:b/>
          <w:bCs/>
          <w:color w:val="auto"/>
          <w:szCs w:val="24"/>
          <w:lang w:eastAsia="zh-CN"/>
        </w:rPr>
      </w:pPr>
    </w:p>
    <w:p w:rsidR="00777A72" w:rsidRPr="00DA02E5" w:rsidRDefault="00777A72" w:rsidP="002A6864">
      <w:pPr>
        <w:spacing w:line="284" w:lineRule="atLeast"/>
        <w:jc w:val="center"/>
        <w:rPr>
          <w:rFonts w:ascii="mylotus" w:hAnsi="mylotus" w:cs="KFGQPC Uthman Taha Naskh"/>
          <w:color w:val="auto"/>
          <w:szCs w:val="24"/>
          <w:lang w:bidi="ar-EG"/>
        </w:rPr>
      </w:pPr>
      <w:r w:rsidRPr="00DA02E5">
        <w:rPr>
          <w:rFonts w:ascii="mylotus" w:hAnsi="mylotus" w:cs="KFGQPC Uthman Taha Naskh" w:hint="cs"/>
          <w:color w:val="800000"/>
          <w:szCs w:val="24"/>
          <w:rtl/>
          <w:lang w:bidi="ar-EG"/>
        </w:rPr>
        <w:t>ترجمة:</w:t>
      </w:r>
      <w:r w:rsidRPr="00DA02E5">
        <w:rPr>
          <w:rFonts w:ascii="mylotus" w:hAnsi="mylotus" w:cs="KFGQPC Uthman Taha Naskh" w:hint="cs"/>
          <w:color w:val="auto"/>
          <w:szCs w:val="24"/>
          <w:rtl/>
          <w:lang w:bidi="ar-EG"/>
        </w:rPr>
        <w:t xml:space="preserve"> </w:t>
      </w:r>
      <w:r w:rsidR="003B2CBA" w:rsidRPr="003B2CBA">
        <w:rPr>
          <w:rFonts w:cs="KFGQPC Uthman Taha Naskh"/>
          <w:sz w:val="28"/>
          <w:szCs w:val="28"/>
          <w:rtl/>
        </w:rPr>
        <w:t xml:space="preserve">موقع الإسلام سؤال وجواب </w:t>
      </w:r>
      <w:r w:rsidR="002A6864" w:rsidRPr="003B2CBA">
        <w:rPr>
          <w:rFonts w:cs="KFGQPC Uthman Taha Naskh"/>
          <w:sz w:val="28"/>
          <w:szCs w:val="28"/>
        </w:rPr>
        <w:t>http://</w:t>
      </w:r>
      <w:r w:rsidR="003B2CBA" w:rsidRPr="003B2CBA">
        <w:rPr>
          <w:rFonts w:cs="KFGQPC Uthman Taha Naskh"/>
          <w:sz w:val="28"/>
          <w:szCs w:val="28"/>
        </w:rPr>
        <w:t>www.islamqa.info</w:t>
      </w:r>
    </w:p>
    <w:p w:rsidR="00777A72" w:rsidRDefault="00777A72" w:rsidP="00777A72">
      <w:pPr>
        <w:spacing w:before="150" w:after="150" w:line="284" w:lineRule="atLeast"/>
        <w:jc w:val="center"/>
        <w:rPr>
          <w:rStyle w:val="divx11"/>
          <w:color w:val="auto"/>
          <w:sz w:val="22"/>
          <w:szCs w:val="22"/>
          <w:rtl/>
          <w:lang w:bidi="ar-EG"/>
        </w:rPr>
      </w:pPr>
    </w:p>
    <w:p w:rsidR="00DA02E5" w:rsidRDefault="00DA02E5" w:rsidP="00DA02E5">
      <w:pPr>
        <w:bidi w:val="0"/>
        <w:jc w:val="center"/>
        <w:rPr>
          <w:rFonts w:ascii="Calibri" w:hAnsi="Calibri" w:cs="KFGQPC Uthman Taha Naskh"/>
          <w:sz w:val="20"/>
          <w:szCs w:val="20"/>
        </w:rPr>
      </w:pPr>
    </w:p>
    <w:p w:rsidR="002903F1" w:rsidRDefault="002903F1" w:rsidP="002903F1">
      <w:pPr>
        <w:bidi w:val="0"/>
        <w:jc w:val="center"/>
        <w:rPr>
          <w:rFonts w:ascii="Calibri" w:hAnsi="Calibri" w:cs="KFGQPC Uthman Taha Naskh"/>
          <w:sz w:val="20"/>
          <w:szCs w:val="20"/>
          <w:rtl/>
        </w:rPr>
      </w:pPr>
    </w:p>
    <w:p w:rsidR="003C285A" w:rsidRDefault="003C285A" w:rsidP="003C285A">
      <w:pPr>
        <w:bidi w:val="0"/>
        <w:jc w:val="center"/>
        <w:rPr>
          <w:rFonts w:ascii="Calibri" w:hAnsi="Calibri" w:cs="KFGQPC Uthman Taha Naskh"/>
          <w:sz w:val="20"/>
          <w:szCs w:val="20"/>
        </w:rPr>
      </w:pPr>
    </w:p>
    <w:p w:rsidR="00777A72" w:rsidRPr="00755C1B" w:rsidRDefault="00777A72" w:rsidP="00755C1B">
      <w:pPr>
        <w:jc w:val="center"/>
        <w:rPr>
          <w:rFonts w:cs="Times New Roman"/>
          <w:szCs w:val="24"/>
        </w:rPr>
      </w:pPr>
      <w:r w:rsidRPr="00755C1B">
        <w:rPr>
          <w:rFonts w:cs="Times New Roman"/>
          <w:szCs w:val="24"/>
        </w:rPr>
        <w:t>2012 - 1433</w:t>
      </w:r>
    </w:p>
    <w:p w:rsidR="00393D5B" w:rsidRDefault="007C6338" w:rsidP="00393D5B">
      <w:pPr>
        <w:jc w:val="center"/>
        <w:rPr>
          <w:rFonts w:cs="Times New Roman"/>
          <w:b/>
          <w:bCs/>
          <w:color w:val="auto"/>
          <w:szCs w:val="40"/>
          <w:lang w:bidi="ar-EG"/>
        </w:rPr>
      </w:pPr>
      <w:r>
        <w:rPr>
          <w:rFonts w:cs="Times New Roman"/>
          <w:noProof/>
          <w:lang w:eastAsia="zh-CN"/>
        </w:rPr>
        <w:drawing>
          <wp:inline distT="0" distB="0" distL="0" distR="0" wp14:anchorId="29357BBA" wp14:editId="03D85562">
            <wp:extent cx="1847850" cy="279400"/>
            <wp:effectExtent l="0" t="0" r="0" b="6350"/>
            <wp:docPr id="2" name="صورة 1" descr="logo_islamhous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logo_islamhou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83D" w:rsidRDefault="0062783D" w:rsidP="0062783D">
      <w:pPr>
        <w:bidi w:val="0"/>
        <w:rPr>
          <w:rFonts w:cs="Times New Roman"/>
          <w:b/>
          <w:bCs/>
          <w:color w:val="auto"/>
          <w:szCs w:val="40"/>
          <w:lang w:bidi="ar-EG"/>
        </w:rPr>
      </w:pPr>
    </w:p>
    <w:p w:rsidR="00393D5B" w:rsidRPr="00393D5B" w:rsidRDefault="00393D5B" w:rsidP="00393D5B">
      <w:pPr>
        <w:bidi w:val="0"/>
        <w:spacing w:after="240"/>
        <w:rPr>
          <w:b/>
          <w:bCs/>
          <w:lang w:eastAsia="zh-CN"/>
        </w:rPr>
      </w:pPr>
      <w:r w:rsidRPr="00393D5B">
        <w:rPr>
          <w:rStyle w:val="question"/>
          <w:b/>
          <w:bCs/>
          <w:color w:val="943634" w:themeColor="accent2" w:themeShade="BF"/>
          <w:lang w:eastAsia="zh-CN"/>
        </w:rPr>
        <w:t>是否允许穆斯林依靠天文计算确定斋月的起止时间，还是必须要寻见新月？</w:t>
      </w:r>
    </w:p>
    <w:p w:rsidR="00393D5B" w:rsidRDefault="00393D5B" w:rsidP="00393D5B">
      <w:pPr>
        <w:pStyle w:val="3"/>
        <w:ind w:firstLineChars="200" w:firstLine="480"/>
      </w:pPr>
      <w:r>
        <w:rPr>
          <w:rFonts w:ascii="PMingLiU" w:eastAsia="PMingLiU" w:hAnsi="PMingLiU" w:cs="PMingLiU" w:hint="eastAsia"/>
        </w:rPr>
        <w:t>一切赞颂全归真主。</w:t>
      </w:r>
    </w:p>
    <w:p w:rsidR="00393D5B" w:rsidRDefault="00393D5B" w:rsidP="00393D5B">
      <w:pPr>
        <w:pStyle w:val="3"/>
        <w:ind w:firstLineChars="200" w:firstLine="480"/>
      </w:pPr>
      <w:r>
        <w:rPr>
          <w:rFonts w:ascii="PMingLiU" w:eastAsia="PMingLiU" w:hAnsi="PMingLiU" w:cs="PMingLiU" w:hint="eastAsia"/>
        </w:rPr>
        <w:t>伊斯兰教律是宽大的、全面的法典，它适合所有的人类与精灵，无论他们的层次有何差别，知识分子还</w:t>
      </w:r>
      <w:r>
        <w:t xml:space="preserve"> </w:t>
      </w:r>
      <w:r>
        <w:rPr>
          <w:rFonts w:ascii="PMingLiU" w:eastAsia="PMingLiU" w:hAnsi="PMingLiU" w:cs="PMingLiU" w:hint="eastAsia"/>
        </w:rPr>
        <w:t>是文盲，城里人还是乡下人，因此，真主使他们容易的了解履行宗教功修的时刻，以明显的标志作为其起止的时间，使人们都能够知晓，比如，他将日落作为昏礼进</w:t>
      </w:r>
      <w:r>
        <w:t xml:space="preserve"> </w:t>
      </w:r>
      <w:r>
        <w:rPr>
          <w:rFonts w:ascii="PMingLiU" w:eastAsia="PMingLiU" w:hAnsi="PMingLiU" w:cs="PMingLiU" w:hint="eastAsia"/>
        </w:rPr>
        <w:t>入的时间及晡礼时间结束的标志，将天边的红气散尽作为宵礼入时的标志。将看到在上个月底隐没之后又重新出现的月亮，作为新的一个月进入和上一个月结束的标</w:t>
      </w:r>
      <w:r>
        <w:t xml:space="preserve"> </w:t>
      </w:r>
      <w:r>
        <w:rPr>
          <w:rFonts w:ascii="PMingLiU" w:eastAsia="PMingLiU" w:hAnsi="PMingLiU" w:cs="PMingLiU" w:hint="eastAsia"/>
        </w:rPr>
        <w:t>志，真主没有把知晓新的月份进入的工作，只局限在极少的一部分人身上，即掌握星象学或天文计算的人，因此，古兰经与圣训的明文使寻见新月作为斋月开始的标</w:t>
      </w:r>
      <w:r>
        <w:t xml:space="preserve"> </w:t>
      </w:r>
      <w:r>
        <w:rPr>
          <w:rFonts w:ascii="PMingLiU" w:eastAsia="PMingLiU" w:hAnsi="PMingLiU" w:cs="PMingLiU" w:hint="eastAsia"/>
        </w:rPr>
        <w:t>志，把寻见绍瓦勒月（十月）的新月作为开斋的标志，同样的道理，适用在确定宰牲节和阿拉发特日的时间上。清高的真主说：（你们中谁得到了这个月份，他应该</w:t>
      </w:r>
      <w:r>
        <w:t xml:space="preserve"> </w:t>
      </w:r>
      <w:r>
        <w:rPr>
          <w:rFonts w:ascii="PMingLiU" w:eastAsia="PMingLiU" w:hAnsi="PMingLiU" w:cs="PMingLiU" w:hint="eastAsia"/>
        </w:rPr>
        <w:t>斋戒此月。）古兰经</w:t>
      </w:r>
      <w:r>
        <w:t xml:space="preserve"> </w:t>
      </w:r>
      <w:r>
        <w:rPr>
          <w:rFonts w:ascii="PMingLiU" w:eastAsia="PMingLiU" w:hAnsi="PMingLiU" w:cs="PMingLiU" w:hint="eastAsia"/>
        </w:rPr>
        <w:t>黄牛章</w:t>
      </w:r>
      <w:r>
        <w:t>185</w:t>
      </w:r>
      <w:r>
        <w:rPr>
          <w:rFonts w:ascii="PMingLiU" w:eastAsia="PMingLiU" w:hAnsi="PMingLiU" w:cs="PMingLiU" w:hint="eastAsia"/>
        </w:rPr>
        <w:t>节。真主又说：（他们询问新月的情状，你说：</w:t>
      </w:r>
      <w:r>
        <w:t>“</w:t>
      </w:r>
      <w:r>
        <w:rPr>
          <w:rFonts w:ascii="PMingLiU" w:eastAsia="PMingLiU" w:hAnsi="PMingLiU" w:cs="PMingLiU" w:hint="eastAsia"/>
        </w:rPr>
        <w:t>新月是人事和朝觐的时计。</w:t>
      </w:r>
      <w:r>
        <w:t>”</w:t>
      </w:r>
      <w:r>
        <w:rPr>
          <w:rFonts w:ascii="PMingLiU" w:eastAsia="PMingLiU" w:hAnsi="PMingLiU" w:cs="PMingLiU" w:hint="eastAsia"/>
        </w:rPr>
        <w:t>）古兰经</w:t>
      </w:r>
      <w:r>
        <w:t xml:space="preserve"> </w:t>
      </w:r>
      <w:r>
        <w:rPr>
          <w:rFonts w:ascii="PMingLiU" w:eastAsia="PMingLiU" w:hAnsi="PMingLiU" w:cs="PMingLiU" w:hint="eastAsia"/>
        </w:rPr>
        <w:t>黄牛章</w:t>
      </w:r>
      <w:r>
        <w:t>189</w:t>
      </w:r>
      <w:r>
        <w:rPr>
          <w:rFonts w:ascii="PMingLiU" w:eastAsia="PMingLiU" w:hAnsi="PMingLiU" w:cs="PMingLiU" w:hint="eastAsia"/>
        </w:rPr>
        <w:t>节。圣人（真主的称赞、祝福与安宁属于他）说：</w:t>
      </w:r>
      <w:r>
        <w:t>“</w:t>
      </w:r>
      <w:r>
        <w:rPr>
          <w:rFonts w:ascii="PMingLiU" w:eastAsia="PMingLiU" w:hAnsi="PMingLiU" w:cs="PMingLiU" w:hint="eastAsia"/>
        </w:rPr>
        <w:t>你们看到它的时候便封斋，看到它的时候便开斋，当遇有云蒙时，便全美舍尔班月的三十天。</w:t>
      </w:r>
      <w:r>
        <w:t>”</w:t>
      </w:r>
      <w:r>
        <w:rPr>
          <w:rFonts w:ascii="PMingLiU" w:eastAsia="PMingLiU" w:hAnsi="PMingLiU" w:cs="PMingLiU" w:hint="eastAsia"/>
        </w:rPr>
        <w:t>如</w:t>
      </w:r>
      <w:r>
        <w:t xml:space="preserve"> </w:t>
      </w:r>
      <w:r>
        <w:rPr>
          <w:rFonts w:ascii="PMingLiU" w:eastAsia="PMingLiU" w:hAnsi="PMingLiU" w:cs="PMingLiU" w:hint="eastAsia"/>
        </w:rPr>
        <w:t>此，圣人（真主的称赞、祝福与安宁属于他）将寻见斋月（莱麦丹月）的新月，作为封斋的开始，将寻见绍瓦勒月的新月，作为斋月的结束，而并没有将这件事与星</w:t>
      </w:r>
      <w:r>
        <w:t xml:space="preserve"> </w:t>
      </w:r>
      <w:r>
        <w:rPr>
          <w:rFonts w:ascii="PMingLiU" w:eastAsia="PMingLiU" w:hAnsi="PMingLiU" w:cs="PMingLiU" w:hint="eastAsia"/>
        </w:rPr>
        <w:t>宿的运行和计算联系起来，圣人在世的时候，四大海里发时代，以及四大伊玛目时期，和圣人作证他们的尊贵的前三代先贤的时代，就是这样执行的。依靠星象学，</w:t>
      </w:r>
      <w:r>
        <w:t xml:space="preserve"> </w:t>
      </w:r>
      <w:r>
        <w:rPr>
          <w:rFonts w:ascii="PMingLiU" w:eastAsia="PMingLiU" w:hAnsi="PMingLiU" w:cs="PMingLiU" w:hint="eastAsia"/>
        </w:rPr>
        <w:t>来确定新的月份进入和宗教功修开始与结束的时间，而放弃寻见新月，属于毫无益处的新生异端，没有教律的依据。在宗教事务中最优越的做法是效仿前辈的先贤，</w:t>
      </w:r>
      <w:r>
        <w:t xml:space="preserve"> </w:t>
      </w:r>
      <w:r>
        <w:rPr>
          <w:rFonts w:ascii="PMingLiU" w:eastAsia="PMingLiU" w:hAnsi="PMingLiU" w:cs="PMingLiU" w:hint="eastAsia"/>
        </w:rPr>
        <w:t>最恶劣的事情是在教门中制造新生异端。祈求真主从一切考验上护佑我们与你们，以及全体穆斯林大众。</w:t>
      </w:r>
    </w:p>
    <w:p w:rsidR="00393D5B" w:rsidRDefault="00393D5B" w:rsidP="00393D5B">
      <w:pPr>
        <w:bidi w:val="0"/>
        <w:rPr>
          <w:lang w:eastAsia="zh-CN"/>
        </w:rPr>
      </w:pPr>
    </w:p>
    <w:p w:rsidR="00393D5B" w:rsidRDefault="00393D5B" w:rsidP="00393D5B">
      <w:pPr>
        <w:bidi w:val="0"/>
        <w:rPr>
          <w:lang w:eastAsia="zh-CN"/>
        </w:rPr>
      </w:pPr>
      <w:r>
        <w:rPr>
          <w:lang w:eastAsia="zh-CN"/>
        </w:rPr>
        <w:t>学术论文及教法判例常委会</w:t>
      </w:r>
      <w:r>
        <w:rPr>
          <w:lang w:eastAsia="zh-CN"/>
        </w:rPr>
        <w:t>10/106</w:t>
      </w:r>
    </w:p>
    <w:p w:rsidR="00393D5B" w:rsidRDefault="00393D5B" w:rsidP="00393D5B">
      <w:pPr>
        <w:bidi w:val="0"/>
        <w:rPr>
          <w:lang w:eastAsia="zh-CN"/>
        </w:rPr>
      </w:pPr>
    </w:p>
    <w:p w:rsidR="00835B25" w:rsidRDefault="00835B25" w:rsidP="0062783D">
      <w:pPr>
        <w:bidi w:val="0"/>
        <w:spacing w:line="360" w:lineRule="auto"/>
        <w:rPr>
          <w:rFonts w:ascii="SimSun" w:hAnsi="SimSun"/>
          <w:kern w:val="28"/>
          <w:sz w:val="22"/>
          <w:szCs w:val="22"/>
          <w:lang w:eastAsia="zh-CN"/>
        </w:rPr>
      </w:pPr>
    </w:p>
    <w:sectPr w:rsidR="00835B25" w:rsidSect="00755C1B">
      <w:footnotePr>
        <w:numFmt w:val="decimalEnclosedCircleChinese"/>
        <w:numRestart w:val="eachPage"/>
      </w:footnotePr>
      <w:pgSz w:w="6803" w:h="9638"/>
      <w:pgMar w:top="567" w:right="567" w:bottom="567" w:left="850" w:header="567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1585" w:rsidRDefault="00B31585" w:rsidP="00777A72">
      <w:r>
        <w:separator/>
      </w:r>
    </w:p>
  </w:endnote>
  <w:endnote w:type="continuationSeparator" w:id="0">
    <w:p w:rsidR="00B31585" w:rsidRDefault="00B31585" w:rsidP="00777A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CA9A1485-3E62-497E-A5C2-BCFE07C131D4}"/>
    <w:embedBold r:id="rId2" w:fontKey="{1EA40874-E159-48EA-A225-30CB78699AF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453E5316-C94D-4E31-BBF7-EEC1B0FD5180}"/>
    <w:embedBold r:id="rId4" w:subsetted="1" w:fontKey="{4D73FC90-E58C-4249-A49A-E2CBDF6A128F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5" w:fontKey="{3345031B-19B9-4F83-9473-77AC75502355}"/>
    <w:embedBold r:id="rId6" w:fontKey="{79CEBC53-1BA1-4421-8C7C-D627338B499E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7" w:fontKey="{CB41B2F7-79CA-438C-ABAA-E59A6D5917B4}"/>
    <w:embedBold r:id="rId8" w:fontKey="{3C03C25C-81C3-482A-9A36-EB7FA9D54C25}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9" w:fontKey="{267FE675-EBDF-4EBC-AFAA-31B6FCDF875B}"/>
    <w:embedBold r:id="rId10" w:fontKey="{1B8F2E7A-1B58-486F-8903-2F52F09E64F2}"/>
  </w:font>
  <w:font w:name="mylotus1">
    <w:charset w:val="00"/>
    <w:family w:val="auto"/>
    <w:pitch w:val="variable"/>
    <w:sig w:usb0="00002007" w:usb1="80000000" w:usb2="00000008" w:usb3="00000000" w:csb0="00000043" w:csb1="00000000"/>
    <w:embedRegular r:id="rId11" w:fontKey="{277A83F6-B9A1-4A4E-B6A3-82369BDBDA6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2" w:fontKey="{71B840C5-2CFE-4EFA-B5B7-86AA2F9E7D11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E39D388B-16F2-476F-9F61-2E02B5F51F05}"/>
    <w:embedBold r:id="rId14" w:fontKey="{C1FC2FC9-D11E-491A-87DF-828B42905D15}"/>
  </w:font>
  <w:font w:name="MS UI Gothic">
    <w:panose1 w:val="020B0600070205080204"/>
    <w:charset w:val="80"/>
    <w:family w:val="swiss"/>
    <w:pitch w:val="variable"/>
    <w:sig w:usb0="A00002BF" w:usb1="68C7FCFB" w:usb2="00000010" w:usb3="00000000" w:csb0="0002009F" w:csb1="00000000"/>
    <w:embedBold r:id="rId15" w:subsetted="1" w:fontKey="{AED63D91-5478-4C01-A808-BA351DB672DB}"/>
  </w:font>
  <w:font w:name="STXinwei"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6" w:subsetted="1" w:fontKey="{80E68BBD-808A-4A48-9C29-92DA6671F1BA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Bold r:id="rId17" w:fontKey="{AD715AE6-FCC3-48AD-80CD-190FB64893BD}"/>
  </w:font>
  <w:font w:name="mylotus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18" w:fontKey="{3F212D95-8EB3-4EB5-AE62-69DB6929C7C4}"/>
  </w:font>
  <w:font w:name="PMingLiU">
    <w:altName w:val="新細明體"/>
    <w:panose1 w:val="02020300000000000000"/>
    <w:charset w:val="88"/>
    <w:family w:val="roman"/>
    <w:pitch w:val="variable"/>
    <w:sig w:usb0="A00002FF" w:usb1="28CFFCFA" w:usb2="00000016" w:usb3="00000000" w:csb0="00100001" w:csb1="00000000"/>
    <w:embedRegular r:id="rId19" w:subsetted="1" w:fontKey="{2BE3B973-8F2B-474D-A377-F3227FC5815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20" w:fontKey="{850BA34F-F591-41C2-9266-024D6C7469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A72" w:rsidRDefault="00777A72" w:rsidP="003A4C59">
    <w:pPr>
      <w:pStyle w:val="a6"/>
      <w:framePr w:wrap="around" w:vAnchor="text" w:hAnchor="text" w:xAlign="center" w:y="1"/>
      <w:rPr>
        <w:rStyle w:val="a7"/>
      </w:rPr>
    </w:pPr>
    <w:r>
      <w:rPr>
        <w:rStyle w:val="a7"/>
        <w:rtl/>
      </w:rPr>
      <w:fldChar w:fldCharType="begin"/>
    </w:r>
    <w:r>
      <w:rPr>
        <w:rStyle w:val="a7"/>
      </w:rPr>
      <w:instrText xml:space="preserve">PAGE  </w:instrText>
    </w:r>
    <w:r>
      <w:rPr>
        <w:rStyle w:val="a7"/>
        <w:rtl/>
      </w:rPr>
      <w:fldChar w:fldCharType="separate"/>
    </w:r>
    <w:r>
      <w:rPr>
        <w:rStyle w:val="a7"/>
        <w:noProof/>
        <w:rtl/>
      </w:rPr>
      <w:t>9</w:t>
    </w:r>
    <w:r>
      <w:rPr>
        <w:rStyle w:val="a7"/>
        <w:rtl/>
      </w:rPr>
      <w:fldChar w:fldCharType="end"/>
    </w:r>
  </w:p>
  <w:p w:rsidR="00777A72" w:rsidRDefault="00777A72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A72" w:rsidRPr="00755C1B" w:rsidRDefault="00777A72" w:rsidP="00755C1B">
    <w:pPr>
      <w:pStyle w:val="a6"/>
      <w:bidi w:val="0"/>
      <w:jc w:val="center"/>
      <w:rPr>
        <w:sz w:val="20"/>
        <w:szCs w:val="20"/>
        <w:lang w:val="en-US" w:bidi="ar-EG"/>
      </w:rPr>
    </w:pPr>
    <w:r w:rsidRPr="00FF4CDC">
      <w:rPr>
        <w:sz w:val="20"/>
        <w:szCs w:val="20"/>
      </w:rPr>
      <w:fldChar w:fldCharType="begin"/>
    </w:r>
    <w:r w:rsidRPr="00FF4CDC">
      <w:rPr>
        <w:sz w:val="20"/>
        <w:szCs w:val="20"/>
      </w:rPr>
      <w:instrText xml:space="preserve"> PAGE  \* Arabic  \* MERGEFORMAT </w:instrText>
    </w:r>
    <w:r w:rsidRPr="00FF4CDC">
      <w:rPr>
        <w:sz w:val="20"/>
        <w:szCs w:val="20"/>
      </w:rPr>
      <w:fldChar w:fldCharType="separate"/>
    </w:r>
    <w:r w:rsidR="00A66AAC">
      <w:rPr>
        <w:noProof/>
        <w:sz w:val="20"/>
        <w:szCs w:val="20"/>
      </w:rPr>
      <w:t>4</w:t>
    </w:r>
    <w:r w:rsidRPr="00FF4CDC">
      <w:rPr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C1B" w:rsidRDefault="00755C1B" w:rsidP="00755C1B">
    <w:pPr>
      <w:pStyle w:val="a6"/>
      <w:bidi w:val="0"/>
      <w:jc w:val="center"/>
      <w:rPr>
        <w:lang w:bidi="ar-EG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1585" w:rsidRDefault="00B31585" w:rsidP="00777A72">
      <w:r>
        <w:separator/>
      </w:r>
    </w:p>
  </w:footnote>
  <w:footnote w:type="continuationSeparator" w:id="0">
    <w:p w:rsidR="00B31585" w:rsidRDefault="00B31585" w:rsidP="00777A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C1B" w:rsidRDefault="00755C1B" w:rsidP="00755C1B">
    <w:pPr>
      <w:pStyle w:val="ab"/>
      <w:bidi w:val="0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C1B" w:rsidRDefault="00755C1B" w:rsidP="00755C1B">
    <w:pPr>
      <w:pStyle w:val="ab"/>
      <w:bidi w:val="0"/>
      <w:jc w:val="center"/>
      <w:rPr>
        <w:lang w:bidi="ar-EG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proofState w:spelling="clean"/>
  <w:defaultTabStop w:val="720"/>
  <w:drawingGridHorizontalSpacing w:val="120"/>
  <w:displayHorizontalDrawingGridEvery w:val="2"/>
  <w:characterSpacingControl w:val="doNotCompress"/>
  <w:savePreviewPicture/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A72"/>
    <w:rsid w:val="00080D43"/>
    <w:rsid w:val="000973F3"/>
    <w:rsid w:val="001111DD"/>
    <w:rsid w:val="001146BA"/>
    <w:rsid w:val="001E6345"/>
    <w:rsid w:val="002903F1"/>
    <w:rsid w:val="00295F2C"/>
    <w:rsid w:val="002A6864"/>
    <w:rsid w:val="002D7C4C"/>
    <w:rsid w:val="00300E8D"/>
    <w:rsid w:val="00306F2F"/>
    <w:rsid w:val="003569BC"/>
    <w:rsid w:val="00370C66"/>
    <w:rsid w:val="00393D5B"/>
    <w:rsid w:val="003A4C59"/>
    <w:rsid w:val="003B2CBA"/>
    <w:rsid w:val="003C285A"/>
    <w:rsid w:val="00414F84"/>
    <w:rsid w:val="004157B6"/>
    <w:rsid w:val="004320A6"/>
    <w:rsid w:val="004E1FAE"/>
    <w:rsid w:val="00554A4E"/>
    <w:rsid w:val="00564468"/>
    <w:rsid w:val="005A2A28"/>
    <w:rsid w:val="005B4C69"/>
    <w:rsid w:val="005E2FC2"/>
    <w:rsid w:val="006001D2"/>
    <w:rsid w:val="0062783D"/>
    <w:rsid w:val="00675CBD"/>
    <w:rsid w:val="00690BE0"/>
    <w:rsid w:val="006A0D3C"/>
    <w:rsid w:val="006B7F40"/>
    <w:rsid w:val="006C1238"/>
    <w:rsid w:val="006F08FF"/>
    <w:rsid w:val="007126B3"/>
    <w:rsid w:val="00744C6A"/>
    <w:rsid w:val="00755083"/>
    <w:rsid w:val="00755C1B"/>
    <w:rsid w:val="007716A7"/>
    <w:rsid w:val="00777A72"/>
    <w:rsid w:val="00790312"/>
    <w:rsid w:val="007A0DF5"/>
    <w:rsid w:val="007C6338"/>
    <w:rsid w:val="007E4433"/>
    <w:rsid w:val="00835B25"/>
    <w:rsid w:val="00892E60"/>
    <w:rsid w:val="008D27C2"/>
    <w:rsid w:val="008D7E66"/>
    <w:rsid w:val="00974C14"/>
    <w:rsid w:val="009D61FE"/>
    <w:rsid w:val="009F38AB"/>
    <w:rsid w:val="00A0031F"/>
    <w:rsid w:val="00A60DB9"/>
    <w:rsid w:val="00A66AAC"/>
    <w:rsid w:val="00AE0FE4"/>
    <w:rsid w:val="00AF734C"/>
    <w:rsid w:val="00B31585"/>
    <w:rsid w:val="00B33078"/>
    <w:rsid w:val="00C07B65"/>
    <w:rsid w:val="00C20E08"/>
    <w:rsid w:val="00C46D19"/>
    <w:rsid w:val="00CC3AE6"/>
    <w:rsid w:val="00D501F5"/>
    <w:rsid w:val="00D57B2C"/>
    <w:rsid w:val="00DA02E5"/>
    <w:rsid w:val="00DE2EF9"/>
    <w:rsid w:val="00E177A4"/>
    <w:rsid w:val="00E33CE6"/>
    <w:rsid w:val="00E91149"/>
    <w:rsid w:val="00EA3CC6"/>
    <w:rsid w:val="00EB4290"/>
    <w:rsid w:val="00EC64CB"/>
    <w:rsid w:val="00ED4B93"/>
    <w:rsid w:val="00F20D37"/>
    <w:rsid w:val="00F5298E"/>
    <w:rsid w:val="00F8305A"/>
    <w:rsid w:val="00F96CAF"/>
    <w:rsid w:val="00FB2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Arial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A72"/>
    <w:pPr>
      <w:bidi/>
    </w:pPr>
    <w:rPr>
      <w:rFonts w:ascii="Times New Roman" w:hAnsi="Times New Roman" w:cs="Traditional Arabic"/>
      <w:color w:val="000000"/>
      <w:sz w:val="24"/>
      <w:szCs w:val="3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aliases w:val="Footnote Text"/>
    <w:basedOn w:val="a"/>
    <w:link w:val="Char"/>
    <w:uiPriority w:val="99"/>
    <w:rsid w:val="00777A72"/>
    <w:rPr>
      <w:rFonts w:cs="Times New Roman"/>
      <w:color w:val="auto"/>
      <w:sz w:val="20"/>
      <w:szCs w:val="20"/>
      <w:lang w:val="x-none" w:eastAsia="ar-SA"/>
    </w:rPr>
  </w:style>
  <w:style w:type="character" w:customStyle="1" w:styleId="Char">
    <w:name w:val="نص حاشية سفلية Char"/>
    <w:aliases w:val="Footnote Text Char"/>
    <w:link w:val="a3"/>
    <w:uiPriority w:val="99"/>
    <w:rsid w:val="00777A72"/>
    <w:rPr>
      <w:rFonts w:ascii="Times New Roman" w:eastAsia="SimSun" w:hAnsi="Times New Roman" w:cs="Times New Roman"/>
      <w:sz w:val="20"/>
      <w:szCs w:val="20"/>
      <w:lang w:val="x-none" w:eastAsia="ar-SA"/>
    </w:rPr>
  </w:style>
  <w:style w:type="character" w:styleId="a4">
    <w:name w:val="footnote reference"/>
    <w:aliases w:val="Footnote Reference"/>
    <w:rsid w:val="00777A72"/>
    <w:rPr>
      <w:rFonts w:ascii="Times New Roman" w:hAnsi="Times New Roman" w:cs="Times New Roman"/>
      <w:vertAlign w:val="superscript"/>
    </w:rPr>
  </w:style>
  <w:style w:type="paragraph" w:styleId="a5">
    <w:name w:val="Normal (Web)"/>
    <w:basedOn w:val="a"/>
    <w:rsid w:val="00777A72"/>
    <w:pPr>
      <w:bidi w:val="0"/>
      <w:spacing w:before="100" w:beforeAutospacing="1" w:after="100" w:afterAutospacing="1"/>
    </w:pPr>
    <w:rPr>
      <w:rFonts w:cs="Times New Roman"/>
      <w:color w:val="auto"/>
      <w:szCs w:val="24"/>
    </w:rPr>
  </w:style>
  <w:style w:type="paragraph" w:customStyle="1" w:styleId="a6">
    <w:name w:val="تذييل صفحة"/>
    <w:aliases w:val="Footer"/>
    <w:basedOn w:val="a"/>
    <w:link w:val="Char0"/>
    <w:rsid w:val="00777A72"/>
    <w:pPr>
      <w:tabs>
        <w:tab w:val="center" w:pos="4153"/>
        <w:tab w:val="right" w:pos="8306"/>
      </w:tabs>
    </w:pPr>
    <w:rPr>
      <w:rFonts w:cs="Times New Roman"/>
      <w:lang w:val="x-none"/>
    </w:rPr>
  </w:style>
  <w:style w:type="character" w:customStyle="1" w:styleId="Char0">
    <w:name w:val="تذييل صفحة Char"/>
    <w:aliases w:val="Footer Char"/>
    <w:link w:val="a6"/>
    <w:rsid w:val="00777A72"/>
    <w:rPr>
      <w:rFonts w:ascii="Times New Roman" w:eastAsia="SimSun" w:hAnsi="Times New Roman" w:cs="Times New Roman"/>
      <w:color w:val="000000"/>
      <w:sz w:val="24"/>
      <w:szCs w:val="36"/>
      <w:lang w:val="x-none"/>
    </w:rPr>
  </w:style>
  <w:style w:type="character" w:customStyle="1" w:styleId="a7">
    <w:name w:val="رقم صفحة"/>
    <w:basedOn w:val="a0"/>
    <w:rsid w:val="00777A72"/>
  </w:style>
  <w:style w:type="character" w:customStyle="1" w:styleId="divx11">
    <w:name w:val="divx11"/>
    <w:rsid w:val="00777A72"/>
    <w:rPr>
      <w:color w:val="800000"/>
      <w:sz w:val="26"/>
      <w:szCs w:val="26"/>
    </w:rPr>
  </w:style>
  <w:style w:type="character" w:customStyle="1" w:styleId="Char1">
    <w:name w:val="تخريج آية Char"/>
    <w:link w:val="a8"/>
    <w:locked/>
    <w:rsid w:val="00777A72"/>
    <w:rPr>
      <w:rFonts w:cs="mylotus1"/>
      <w:lang w:bidi="ar-JO"/>
    </w:rPr>
  </w:style>
  <w:style w:type="paragraph" w:customStyle="1" w:styleId="a8">
    <w:name w:val="تخريج آية"/>
    <w:basedOn w:val="a"/>
    <w:link w:val="Char1"/>
    <w:rsid w:val="00777A72"/>
    <w:pPr>
      <w:autoSpaceDE w:val="0"/>
      <w:autoSpaceDN w:val="0"/>
      <w:adjustRightInd w:val="0"/>
      <w:spacing w:after="60" w:line="500" w:lineRule="exact"/>
      <w:ind w:left="369" w:hanging="369"/>
      <w:jc w:val="lowKashida"/>
    </w:pPr>
    <w:rPr>
      <w:rFonts w:ascii="Calibri" w:hAnsi="Calibri" w:cs="mylotus1"/>
      <w:color w:val="auto"/>
      <w:sz w:val="20"/>
      <w:szCs w:val="20"/>
      <w:lang w:val="x-none" w:eastAsia="x-none" w:bidi="ar-JO"/>
    </w:rPr>
  </w:style>
  <w:style w:type="character" w:customStyle="1" w:styleId="CharChar">
    <w:name w:val="الفقرة المعلقة Char Char"/>
    <w:link w:val="a9"/>
    <w:locked/>
    <w:rsid w:val="00777A72"/>
    <w:rPr>
      <w:rFonts w:cs="mylotus1"/>
      <w:szCs w:val="29"/>
      <w:lang w:val="x-none" w:bidi="ar-JO"/>
    </w:rPr>
  </w:style>
  <w:style w:type="paragraph" w:customStyle="1" w:styleId="a9">
    <w:name w:val="الفقرة المعلقة"/>
    <w:basedOn w:val="a"/>
    <w:link w:val="CharChar"/>
    <w:rsid w:val="00777A72"/>
    <w:pPr>
      <w:autoSpaceDE w:val="0"/>
      <w:autoSpaceDN w:val="0"/>
      <w:adjustRightInd w:val="0"/>
      <w:spacing w:after="60" w:line="500" w:lineRule="exact"/>
      <w:ind w:left="369" w:hanging="369"/>
      <w:jc w:val="lowKashida"/>
    </w:pPr>
    <w:rPr>
      <w:rFonts w:ascii="Calibri" w:hAnsi="Calibri" w:cs="mylotus1"/>
      <w:color w:val="auto"/>
      <w:sz w:val="20"/>
      <w:szCs w:val="29"/>
      <w:lang w:val="x-none" w:eastAsia="x-none" w:bidi="ar-JO"/>
    </w:rPr>
  </w:style>
  <w:style w:type="paragraph" w:styleId="aa">
    <w:name w:val="Balloon Text"/>
    <w:basedOn w:val="a"/>
    <w:link w:val="Char2"/>
    <w:uiPriority w:val="99"/>
    <w:semiHidden/>
    <w:unhideWhenUsed/>
    <w:rsid w:val="00777A72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link w:val="aa"/>
    <w:uiPriority w:val="99"/>
    <w:semiHidden/>
    <w:rsid w:val="00777A72"/>
    <w:rPr>
      <w:rFonts w:ascii="Tahoma" w:eastAsia="SimSun" w:hAnsi="Tahoma" w:cs="Tahoma"/>
      <w:color w:val="000000"/>
      <w:sz w:val="16"/>
      <w:szCs w:val="16"/>
    </w:rPr>
  </w:style>
  <w:style w:type="paragraph" w:customStyle="1" w:styleId="ab">
    <w:name w:val="رأس صفحة"/>
    <w:basedOn w:val="a"/>
    <w:link w:val="Char3"/>
    <w:uiPriority w:val="99"/>
    <w:semiHidden/>
    <w:unhideWhenUsed/>
    <w:rsid w:val="00755C1B"/>
    <w:pPr>
      <w:tabs>
        <w:tab w:val="center" w:pos="4153"/>
        <w:tab w:val="right" w:pos="8306"/>
      </w:tabs>
    </w:pPr>
  </w:style>
  <w:style w:type="character" w:customStyle="1" w:styleId="Char3">
    <w:name w:val="رأس صفحة Char"/>
    <w:link w:val="ab"/>
    <w:uiPriority w:val="99"/>
    <w:semiHidden/>
    <w:rsid w:val="00755C1B"/>
    <w:rPr>
      <w:rFonts w:ascii="Times New Roman" w:hAnsi="Times New Roman" w:cs="Traditional Arabic"/>
      <w:color w:val="000000"/>
      <w:sz w:val="24"/>
      <w:szCs w:val="36"/>
    </w:rPr>
  </w:style>
  <w:style w:type="character" w:customStyle="1" w:styleId="question">
    <w:name w:val="question"/>
    <w:rsid w:val="00564468"/>
  </w:style>
  <w:style w:type="paragraph" w:styleId="3">
    <w:name w:val="Body Text Indent 3"/>
    <w:basedOn w:val="a"/>
    <w:link w:val="3Char"/>
    <w:uiPriority w:val="99"/>
    <w:semiHidden/>
    <w:unhideWhenUsed/>
    <w:rsid w:val="00564468"/>
    <w:pPr>
      <w:bidi w:val="0"/>
      <w:spacing w:before="100" w:beforeAutospacing="1" w:after="100" w:afterAutospacing="1"/>
    </w:pPr>
    <w:rPr>
      <w:rFonts w:eastAsia="Times New Roman" w:cs="Times New Roman"/>
      <w:color w:val="auto"/>
      <w:szCs w:val="24"/>
      <w:lang w:eastAsia="zh-CN"/>
    </w:rPr>
  </w:style>
  <w:style w:type="character" w:customStyle="1" w:styleId="3Char">
    <w:name w:val="نص أساسي بمسافة بادئة 3 Char"/>
    <w:link w:val="3"/>
    <w:uiPriority w:val="99"/>
    <w:semiHidden/>
    <w:rsid w:val="00564468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Arial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A72"/>
    <w:pPr>
      <w:bidi/>
    </w:pPr>
    <w:rPr>
      <w:rFonts w:ascii="Times New Roman" w:hAnsi="Times New Roman" w:cs="Traditional Arabic"/>
      <w:color w:val="000000"/>
      <w:sz w:val="24"/>
      <w:szCs w:val="3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aliases w:val="Footnote Text"/>
    <w:basedOn w:val="a"/>
    <w:link w:val="Char"/>
    <w:uiPriority w:val="99"/>
    <w:rsid w:val="00777A72"/>
    <w:rPr>
      <w:rFonts w:cs="Times New Roman"/>
      <w:color w:val="auto"/>
      <w:sz w:val="20"/>
      <w:szCs w:val="20"/>
      <w:lang w:val="x-none" w:eastAsia="ar-SA"/>
    </w:rPr>
  </w:style>
  <w:style w:type="character" w:customStyle="1" w:styleId="Char">
    <w:name w:val="نص حاشية سفلية Char"/>
    <w:aliases w:val="Footnote Text Char"/>
    <w:link w:val="a3"/>
    <w:uiPriority w:val="99"/>
    <w:rsid w:val="00777A72"/>
    <w:rPr>
      <w:rFonts w:ascii="Times New Roman" w:eastAsia="SimSun" w:hAnsi="Times New Roman" w:cs="Times New Roman"/>
      <w:sz w:val="20"/>
      <w:szCs w:val="20"/>
      <w:lang w:val="x-none" w:eastAsia="ar-SA"/>
    </w:rPr>
  </w:style>
  <w:style w:type="character" w:styleId="a4">
    <w:name w:val="footnote reference"/>
    <w:aliases w:val="Footnote Reference"/>
    <w:rsid w:val="00777A72"/>
    <w:rPr>
      <w:rFonts w:ascii="Times New Roman" w:hAnsi="Times New Roman" w:cs="Times New Roman"/>
      <w:vertAlign w:val="superscript"/>
    </w:rPr>
  </w:style>
  <w:style w:type="paragraph" w:styleId="a5">
    <w:name w:val="Normal (Web)"/>
    <w:basedOn w:val="a"/>
    <w:rsid w:val="00777A72"/>
    <w:pPr>
      <w:bidi w:val="0"/>
      <w:spacing w:before="100" w:beforeAutospacing="1" w:after="100" w:afterAutospacing="1"/>
    </w:pPr>
    <w:rPr>
      <w:rFonts w:cs="Times New Roman"/>
      <w:color w:val="auto"/>
      <w:szCs w:val="24"/>
    </w:rPr>
  </w:style>
  <w:style w:type="paragraph" w:customStyle="1" w:styleId="a6">
    <w:name w:val="تذييل صفحة"/>
    <w:aliases w:val="Footer"/>
    <w:basedOn w:val="a"/>
    <w:link w:val="Char0"/>
    <w:rsid w:val="00777A72"/>
    <w:pPr>
      <w:tabs>
        <w:tab w:val="center" w:pos="4153"/>
        <w:tab w:val="right" w:pos="8306"/>
      </w:tabs>
    </w:pPr>
    <w:rPr>
      <w:rFonts w:cs="Times New Roman"/>
      <w:lang w:val="x-none"/>
    </w:rPr>
  </w:style>
  <w:style w:type="character" w:customStyle="1" w:styleId="Char0">
    <w:name w:val="تذييل صفحة Char"/>
    <w:aliases w:val="Footer Char"/>
    <w:link w:val="a6"/>
    <w:rsid w:val="00777A72"/>
    <w:rPr>
      <w:rFonts w:ascii="Times New Roman" w:eastAsia="SimSun" w:hAnsi="Times New Roman" w:cs="Times New Roman"/>
      <w:color w:val="000000"/>
      <w:sz w:val="24"/>
      <w:szCs w:val="36"/>
      <w:lang w:val="x-none"/>
    </w:rPr>
  </w:style>
  <w:style w:type="character" w:customStyle="1" w:styleId="a7">
    <w:name w:val="رقم صفحة"/>
    <w:basedOn w:val="a0"/>
    <w:rsid w:val="00777A72"/>
  </w:style>
  <w:style w:type="character" w:customStyle="1" w:styleId="divx11">
    <w:name w:val="divx11"/>
    <w:rsid w:val="00777A72"/>
    <w:rPr>
      <w:color w:val="800000"/>
      <w:sz w:val="26"/>
      <w:szCs w:val="26"/>
    </w:rPr>
  </w:style>
  <w:style w:type="character" w:customStyle="1" w:styleId="Char1">
    <w:name w:val="تخريج آية Char"/>
    <w:link w:val="a8"/>
    <w:locked/>
    <w:rsid w:val="00777A72"/>
    <w:rPr>
      <w:rFonts w:cs="mylotus1"/>
      <w:lang w:bidi="ar-JO"/>
    </w:rPr>
  </w:style>
  <w:style w:type="paragraph" w:customStyle="1" w:styleId="a8">
    <w:name w:val="تخريج آية"/>
    <w:basedOn w:val="a"/>
    <w:link w:val="Char1"/>
    <w:rsid w:val="00777A72"/>
    <w:pPr>
      <w:autoSpaceDE w:val="0"/>
      <w:autoSpaceDN w:val="0"/>
      <w:adjustRightInd w:val="0"/>
      <w:spacing w:after="60" w:line="500" w:lineRule="exact"/>
      <w:ind w:left="369" w:hanging="369"/>
      <w:jc w:val="lowKashida"/>
    </w:pPr>
    <w:rPr>
      <w:rFonts w:ascii="Calibri" w:hAnsi="Calibri" w:cs="mylotus1"/>
      <w:color w:val="auto"/>
      <w:sz w:val="20"/>
      <w:szCs w:val="20"/>
      <w:lang w:val="x-none" w:eastAsia="x-none" w:bidi="ar-JO"/>
    </w:rPr>
  </w:style>
  <w:style w:type="character" w:customStyle="1" w:styleId="CharChar">
    <w:name w:val="الفقرة المعلقة Char Char"/>
    <w:link w:val="a9"/>
    <w:locked/>
    <w:rsid w:val="00777A72"/>
    <w:rPr>
      <w:rFonts w:cs="mylotus1"/>
      <w:szCs w:val="29"/>
      <w:lang w:val="x-none" w:bidi="ar-JO"/>
    </w:rPr>
  </w:style>
  <w:style w:type="paragraph" w:customStyle="1" w:styleId="a9">
    <w:name w:val="الفقرة المعلقة"/>
    <w:basedOn w:val="a"/>
    <w:link w:val="CharChar"/>
    <w:rsid w:val="00777A72"/>
    <w:pPr>
      <w:autoSpaceDE w:val="0"/>
      <w:autoSpaceDN w:val="0"/>
      <w:adjustRightInd w:val="0"/>
      <w:spacing w:after="60" w:line="500" w:lineRule="exact"/>
      <w:ind w:left="369" w:hanging="369"/>
      <w:jc w:val="lowKashida"/>
    </w:pPr>
    <w:rPr>
      <w:rFonts w:ascii="Calibri" w:hAnsi="Calibri" w:cs="mylotus1"/>
      <w:color w:val="auto"/>
      <w:sz w:val="20"/>
      <w:szCs w:val="29"/>
      <w:lang w:val="x-none" w:eastAsia="x-none" w:bidi="ar-JO"/>
    </w:rPr>
  </w:style>
  <w:style w:type="paragraph" w:styleId="aa">
    <w:name w:val="Balloon Text"/>
    <w:basedOn w:val="a"/>
    <w:link w:val="Char2"/>
    <w:uiPriority w:val="99"/>
    <w:semiHidden/>
    <w:unhideWhenUsed/>
    <w:rsid w:val="00777A72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link w:val="aa"/>
    <w:uiPriority w:val="99"/>
    <w:semiHidden/>
    <w:rsid w:val="00777A72"/>
    <w:rPr>
      <w:rFonts w:ascii="Tahoma" w:eastAsia="SimSun" w:hAnsi="Tahoma" w:cs="Tahoma"/>
      <w:color w:val="000000"/>
      <w:sz w:val="16"/>
      <w:szCs w:val="16"/>
    </w:rPr>
  </w:style>
  <w:style w:type="paragraph" w:customStyle="1" w:styleId="ab">
    <w:name w:val="رأس صفحة"/>
    <w:basedOn w:val="a"/>
    <w:link w:val="Char3"/>
    <w:uiPriority w:val="99"/>
    <w:semiHidden/>
    <w:unhideWhenUsed/>
    <w:rsid w:val="00755C1B"/>
    <w:pPr>
      <w:tabs>
        <w:tab w:val="center" w:pos="4153"/>
        <w:tab w:val="right" w:pos="8306"/>
      </w:tabs>
    </w:pPr>
  </w:style>
  <w:style w:type="character" w:customStyle="1" w:styleId="Char3">
    <w:name w:val="رأس صفحة Char"/>
    <w:link w:val="ab"/>
    <w:uiPriority w:val="99"/>
    <w:semiHidden/>
    <w:rsid w:val="00755C1B"/>
    <w:rPr>
      <w:rFonts w:ascii="Times New Roman" w:hAnsi="Times New Roman" w:cs="Traditional Arabic"/>
      <w:color w:val="000000"/>
      <w:sz w:val="24"/>
      <w:szCs w:val="36"/>
    </w:rPr>
  </w:style>
  <w:style w:type="character" w:customStyle="1" w:styleId="question">
    <w:name w:val="question"/>
    <w:rsid w:val="00564468"/>
  </w:style>
  <w:style w:type="paragraph" w:styleId="3">
    <w:name w:val="Body Text Indent 3"/>
    <w:basedOn w:val="a"/>
    <w:link w:val="3Char"/>
    <w:uiPriority w:val="99"/>
    <w:semiHidden/>
    <w:unhideWhenUsed/>
    <w:rsid w:val="00564468"/>
    <w:pPr>
      <w:bidi w:val="0"/>
      <w:spacing w:before="100" w:beforeAutospacing="1" w:after="100" w:afterAutospacing="1"/>
    </w:pPr>
    <w:rPr>
      <w:rFonts w:eastAsia="Times New Roman" w:cs="Times New Roman"/>
      <w:color w:val="auto"/>
      <w:szCs w:val="24"/>
      <w:lang w:eastAsia="zh-CN"/>
    </w:rPr>
  </w:style>
  <w:style w:type="character" w:customStyle="1" w:styleId="3Char">
    <w:name w:val="نص أساسي بمسافة بادئة 3 Char"/>
    <w:link w:val="3"/>
    <w:uiPriority w:val="99"/>
    <w:semiHidden/>
    <w:rsid w:val="00564468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1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6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8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5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5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7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2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1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://www.islamhouse.com/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应依靠寻见新月，而非天文计算</vt:lpstr>
    </vt:vector>
  </TitlesOfParts>
  <Company>islamhouse.com</Company>
  <LinksUpToDate>false</LinksUpToDate>
  <CharactersWithSpaces>1145</CharactersWithSpaces>
  <SharedDoc>false</SharedDoc>
  <HyperlinkBase>www.islamhouse.com</HyperlinkBase>
  <HLinks>
    <vt:vector size="12" baseType="variant">
      <vt:variant>
        <vt:i4>3211316</vt:i4>
      </vt:variant>
      <vt:variant>
        <vt:i4>3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  <vt:variant>
        <vt:i4>3211316</vt:i4>
      </vt:variant>
      <vt:variant>
        <vt:i4>0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应依靠寻见新月，而非天文计算</dc:title>
  <dc:subject>应依靠寻见新月，而非天文计算</dc:subject>
  <dc:creator>穆罕默德·刷利哈·艾勒穆南基德</dc:creator>
  <cp:keywords>应依靠寻见新月，而非天文计算</cp:keywords>
  <dc:description>应依靠寻见新月，而非天文计算</dc:description>
  <cp:lastModifiedBy>alazhary</cp:lastModifiedBy>
  <cp:revision>9</cp:revision>
  <cp:lastPrinted>2012-05-14T05:59:00Z</cp:lastPrinted>
  <dcterms:created xsi:type="dcterms:W3CDTF">2012-05-14T03:27:00Z</dcterms:created>
  <dcterms:modified xsi:type="dcterms:W3CDTF">2012-05-14T05:59:00Z</dcterms:modified>
</cp:coreProperties>
</file>