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727B18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5D6EAD" w:rsidRDefault="005D6EAD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5D6EAD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在离开家乡之前是否可以缩短拜功？</w:t>
      </w:r>
    </w:p>
    <w:p w:rsidR="00EB6455" w:rsidRDefault="00EB6455" w:rsidP="005D6EAD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5D6EAD" w:rsidRPr="005D6EAD" w:rsidRDefault="005D6EAD" w:rsidP="005D6EAD">
      <w:pPr>
        <w:spacing w:after="60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5D6EAD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هل يقصر الصلاة قبل الخروج من البلد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856385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35</w:t>
      </w:r>
    </w:p>
    <w:p w:rsidR="00EE484A" w:rsidRPr="00962983" w:rsidRDefault="00EE484A" w:rsidP="00EE484A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5D6EAD" w:rsidRPr="005D6EAD" w:rsidRDefault="005D6EAD" w:rsidP="005D6EAD">
      <w:pPr>
        <w:shd w:val="clear" w:color="auto" w:fill="FFFFFF"/>
        <w:bidi w:val="0"/>
        <w:spacing w:after="60"/>
        <w:jc w:val="center"/>
        <w:outlineLvl w:val="3"/>
        <w:rPr>
          <w:rFonts w:asciiTheme="minorEastAsia" w:eastAsiaTheme="minorEastAsia" w:hAnsiTheme="minorEastAsia" w:cs="Tahoma"/>
          <w:b/>
          <w:bCs/>
          <w:color w:val="auto"/>
          <w:sz w:val="36"/>
          <w:lang w:eastAsia="zh-CN"/>
        </w:rPr>
      </w:pPr>
      <w:r w:rsidRPr="005D6EAD">
        <w:rPr>
          <w:rFonts w:asciiTheme="minorEastAsia" w:eastAsiaTheme="minorEastAsia" w:hAnsiTheme="minorEastAsia" w:cs="SimSun" w:hint="eastAsia"/>
          <w:b/>
          <w:bCs/>
          <w:color w:val="auto"/>
          <w:sz w:val="36"/>
          <w:lang w:eastAsia="zh-CN"/>
        </w:rPr>
        <w:t>在离开家乡之前是否可以缩短拜功</w:t>
      </w:r>
      <w:r w:rsidRPr="005D6EAD">
        <w:rPr>
          <w:rFonts w:asciiTheme="minorEastAsia" w:eastAsiaTheme="minorEastAsia" w:hAnsiTheme="minorEastAsia" w:cs="SimSun"/>
          <w:b/>
          <w:bCs/>
          <w:color w:val="auto"/>
          <w:sz w:val="36"/>
          <w:lang w:eastAsia="zh-CN"/>
        </w:rPr>
        <w:t>？</w:t>
      </w:r>
    </w:p>
    <w:p w:rsidR="005D6EAD" w:rsidRPr="005D6EAD" w:rsidRDefault="005D6EAD" w:rsidP="005D6EAD">
      <w:pPr>
        <w:shd w:val="clear" w:color="auto" w:fill="FFFFFF"/>
        <w:bidi w:val="0"/>
        <w:spacing w:before="240" w:after="240" w:line="240" w:lineRule="atLeast"/>
        <w:jc w:val="both"/>
        <w:rPr>
          <w:rFonts w:asciiTheme="minorEastAsia" w:eastAsiaTheme="minorEastAsia" w:hAnsiTheme="minorEastAsia" w:cs="Tahoma"/>
          <w:color w:val="auto"/>
          <w:sz w:val="36"/>
        </w:rPr>
      </w:pPr>
    </w:p>
    <w:p w:rsidR="005D6EAD" w:rsidRDefault="005D6EAD" w:rsidP="005D6EAD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5D6EAD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一个人离家旅行，在他尚未离开他所居住的地区</w:t>
      </w:r>
    </w:p>
    <w:p w:rsidR="005D6EAD" w:rsidRDefault="005D6EAD" w:rsidP="005D6EAD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5D6EAD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时，赶上了晡礼，他是缩短礼拜，还是将拜功礼</w:t>
      </w:r>
    </w:p>
    <w:p w:rsidR="005D6EAD" w:rsidRPr="005D6EAD" w:rsidRDefault="005D6EAD" w:rsidP="005D6EAD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 w:rsidRPr="005D6EAD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全</w:t>
      </w:r>
      <w:r w:rsidRPr="005D6EAD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？</w:t>
      </w:r>
    </w:p>
    <w:p w:rsidR="005D6EAD" w:rsidRPr="005D6EAD" w:rsidRDefault="005D6EAD" w:rsidP="005D6EAD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答：</w:t>
      </w:r>
      <w:r w:rsidRPr="005D6EA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一切赞颂全归真主</w:t>
      </w:r>
      <w:r w:rsidRPr="005D6EAD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5D6EAD" w:rsidRPr="005D6EAD" w:rsidRDefault="005D6EAD" w:rsidP="005D6EAD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5D6EA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旅行者在尚未离开他的家乡时赶上了礼拜，他不可缩短礼拜，因为他还没有离开家乡。如果他已经离开了居住地，在旅行途中做这番礼拜时，可以将礼拜缩短为两拜。同样，如果礼拜的时间进入时你正在旅行中，你在做礼拜之前回到了家乡，此时，你就要礼四拜。所以，衡量的标准是你做礼拜时的情况，如果在旅行中做礼拜，就缩短拜功；如果在居家的情况下做礼拜，就将礼拜做全</w:t>
      </w:r>
      <w:r w:rsidRPr="005D6EAD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5D6EAD" w:rsidRPr="005D6EAD" w:rsidRDefault="005D6EAD" w:rsidP="005D6EAD">
      <w:pPr>
        <w:bidi w:val="0"/>
        <w:spacing w:line="240" w:lineRule="atLeast"/>
        <w:jc w:val="right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5D6EA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>伊本</w:t>
      </w:r>
      <w:r w:rsidRPr="005D6EAD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5D6EA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欧赛悯教长的《</w:t>
      </w:r>
      <w:r w:rsidRPr="005D6EAD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5D6EA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敞开的大门</w:t>
      </w:r>
      <w:r w:rsidRPr="005D6EAD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5D6EA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公开讲座》</w:t>
      </w:r>
      <w:r w:rsidRPr="005D6EAD">
        <w:rPr>
          <w:rFonts w:asciiTheme="minorEastAsia" w:eastAsiaTheme="minorEastAsia" w:hAnsiTheme="minorEastAsia" w:cs="Tahoma"/>
          <w:color w:val="auto"/>
          <w:sz w:val="36"/>
          <w:lang w:eastAsia="zh-CN"/>
        </w:rPr>
        <w:t>/148</w:t>
      </w:r>
      <w:r w:rsidRPr="005D6EAD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8B0" w:rsidRDefault="009328B0" w:rsidP="00EB6455">
      <w:r>
        <w:separator/>
      </w:r>
    </w:p>
  </w:endnote>
  <w:endnote w:type="continuationSeparator" w:id="0">
    <w:p w:rsidR="009328B0" w:rsidRDefault="009328B0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727B18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9328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727B18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A83867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9328B0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8B0" w:rsidRDefault="009328B0" w:rsidP="00EB6455">
      <w:r>
        <w:separator/>
      </w:r>
    </w:p>
  </w:footnote>
  <w:footnote w:type="continuationSeparator" w:id="0">
    <w:p w:rsidR="009328B0" w:rsidRDefault="009328B0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77D41"/>
    <w:rsid w:val="00482F6F"/>
    <w:rsid w:val="004E1EA8"/>
    <w:rsid w:val="005056E6"/>
    <w:rsid w:val="005C6719"/>
    <w:rsid w:val="005D6EAD"/>
    <w:rsid w:val="005F220A"/>
    <w:rsid w:val="0061619F"/>
    <w:rsid w:val="00616C3E"/>
    <w:rsid w:val="006412A0"/>
    <w:rsid w:val="00657854"/>
    <w:rsid w:val="0066117B"/>
    <w:rsid w:val="006D5DD9"/>
    <w:rsid w:val="00727B18"/>
    <w:rsid w:val="007B587A"/>
    <w:rsid w:val="00844DDF"/>
    <w:rsid w:val="00856385"/>
    <w:rsid w:val="008B2286"/>
    <w:rsid w:val="008C1908"/>
    <w:rsid w:val="0093085A"/>
    <w:rsid w:val="009328B0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A8386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B775B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242</Words>
  <Characters>332</Characters>
  <Application>Microsoft Office Word</Application>
  <DocSecurity>0</DocSecurity>
  <Lines>30</Lines>
  <Paragraphs>22</Paragraphs>
  <ScaleCrop>false</ScaleCrop>
  <Manager/>
  <Company>islamhouse.com</Company>
  <LinksUpToDate>false</LinksUpToDate>
  <CharactersWithSpaces>552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在离开家乡之前是否可以缩短拜功</dc:title>
  <dc:subject>在离开家乡之前是否可以缩短拜功</dc:subject>
  <dc:creator>伊斯兰问答网站_x000d_</dc:creator>
  <cp:keywords>在离开家乡之前是否可以缩短拜功</cp:keywords>
  <dc:description>在离开家乡之前是否可以缩短拜功</dc:description>
  <cp:lastModifiedBy>Al-Hashemy</cp:lastModifiedBy>
  <cp:revision>3</cp:revision>
  <dcterms:created xsi:type="dcterms:W3CDTF">2014-11-02T22:51:00Z</dcterms:created>
  <dcterms:modified xsi:type="dcterms:W3CDTF">2014-11-08T14:51:00Z</dcterms:modified>
  <cp:category/>
</cp:coreProperties>
</file>