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455" w:rsidRDefault="00242C65" w:rsidP="00EB6455">
      <w:pPr>
        <w:bidi w:val="0"/>
        <w:jc w:val="center"/>
        <w:rPr>
          <w:rFonts w:ascii="Arial" w:hAnsi="Arial" w:cs="Arial"/>
          <w:b/>
          <w:bCs/>
          <w:sz w:val="52"/>
          <w:szCs w:val="52"/>
          <w:lang w:eastAsia="zh-CN"/>
        </w:rPr>
      </w:pPr>
      <w:r>
        <w:rPr>
          <w:rFonts w:ascii="Arial" w:hAnsi="Arial" w:cs="Arial"/>
          <w:b/>
          <w:bCs/>
          <w:noProof/>
          <w:sz w:val="52"/>
          <w:szCs w:val="52"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315pt;margin-top:3.3pt;width:140.75pt;height:35.2pt;z-index:251658240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" fillcolor="white [3201]" stroked="f" strokeweight=".5pt">
            <v:path arrowok="t"/>
            <v:textbox>
              <w:txbxContent>
                <w:p w:rsidR="00DF5A57" w:rsidRPr="00C70045" w:rsidRDefault="00DF5A57" w:rsidP="00DF5A57">
                  <w:pPr>
                    <w:jc w:val="center"/>
                    <w:rPr>
                      <w:i/>
                      <w:iCs/>
                      <w:u w:val="single"/>
                    </w:rPr>
                  </w:pPr>
                  <w:r w:rsidRPr="003B55D3">
                    <w:rPr>
                      <w:rFonts w:hint="cs"/>
                      <w:i/>
                      <w:iCs/>
                      <w:sz w:val="40"/>
                      <w:szCs w:val="40"/>
                      <w:u w:val="single"/>
                      <w:rtl/>
                    </w:rPr>
                    <w:t>فتوى</w:t>
                  </w:r>
                  <w:r w:rsidRPr="003B55D3">
                    <w:rPr>
                      <w:rFonts w:hint="cs"/>
                      <w:i/>
                      <w:iCs/>
                      <w:sz w:val="32"/>
                      <w:szCs w:val="32"/>
                      <w:u w:val="single"/>
                      <w:rtl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 xml:space="preserve"> </w:t>
                  </w:r>
                  <w:r w:rsidRPr="003B55D3">
                    <w:rPr>
                      <w:rFonts w:hint="eastAsia"/>
                      <w:i/>
                      <w:iCs/>
                      <w:sz w:val="32"/>
                      <w:szCs w:val="32"/>
                      <w:u w:val="single"/>
                    </w:rPr>
                    <w:t>教法判例</w:t>
                  </w:r>
                </w:p>
              </w:txbxContent>
            </v:textbox>
          </v:shape>
        </w:pict>
      </w: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rtl/>
          <w:lang w:eastAsia="zh-CN"/>
        </w:rPr>
      </w:pPr>
    </w:p>
    <w:p w:rsidR="00A60587" w:rsidRPr="00035EBD" w:rsidRDefault="00A60587" w:rsidP="00A60587">
      <w:pPr>
        <w:bidi w:val="0"/>
        <w:jc w:val="center"/>
        <w:rPr>
          <w:rFonts w:ascii="Arial" w:hAnsi="Arial" w:cs="Arial"/>
          <w:b/>
          <w:bCs/>
          <w:sz w:val="48"/>
          <w:szCs w:val="48"/>
          <w:lang w:eastAsia="zh-CN"/>
        </w:rPr>
      </w:pPr>
    </w:p>
    <w:p w:rsidR="002A289D" w:rsidRPr="002A289D" w:rsidRDefault="002A289D" w:rsidP="002A289D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="inherit" w:hAnsi="inherit" w:cs="Tahoma"/>
          <w:color w:val="1F497D" w:themeColor="text2"/>
          <w:sz w:val="48"/>
          <w:szCs w:val="48"/>
        </w:rPr>
      </w:pPr>
      <w:r w:rsidRPr="002A289D">
        <w:rPr>
          <w:rFonts w:ascii="SimSun" w:eastAsia="SimSun" w:hAnsi="SimSun" w:cs="SimSun" w:hint="eastAsia"/>
          <w:color w:val="1F497D" w:themeColor="text2"/>
          <w:sz w:val="48"/>
          <w:szCs w:val="48"/>
        </w:rPr>
        <w:t>关于庆祝节日的允许的事项和不允许的事项</w:t>
      </w:r>
    </w:p>
    <w:p w:rsidR="00EB6455" w:rsidRDefault="00EB6455" w:rsidP="00274430">
      <w:pPr>
        <w:bidi w:val="0"/>
        <w:spacing w:beforeLines="50"/>
        <w:jc w:val="center"/>
        <w:rPr>
          <w:rFonts w:ascii="Courier New" w:hAnsi="Courier New" w:cs="Courier New"/>
          <w:b/>
          <w:bCs/>
          <w:sz w:val="32"/>
          <w:szCs w:val="32"/>
          <w:lang w:eastAsia="zh-CN"/>
        </w:rPr>
      </w:pP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]</w:t>
      </w:r>
      <w:r w:rsidRPr="00962983">
        <w:rPr>
          <w:rFonts w:ascii="Tahoma" w:eastAsia="MS UI Gothic" w:hAnsi="Tahoma" w:cs="Tahoma"/>
          <w:b/>
          <w:bCs/>
          <w:sz w:val="32"/>
          <w:szCs w:val="32"/>
          <w:lang w:eastAsia="zh-CN"/>
        </w:rPr>
        <w:t xml:space="preserve"> </w:t>
      </w:r>
      <w:r w:rsidRPr="00962983">
        <w:rPr>
          <w:rFonts w:ascii="SimSun" w:hAnsi="SimSun" w:cs="Tahoma" w:hint="eastAsia"/>
          <w:b/>
          <w:bCs/>
          <w:sz w:val="32"/>
          <w:szCs w:val="32"/>
          <w:lang w:eastAsia="zh-CN"/>
        </w:rPr>
        <w:t>中文</w:t>
      </w:r>
      <w:r w:rsidRPr="00962983">
        <w:rPr>
          <w:rFonts w:ascii="Tahoma" w:eastAsia="MS UI Gothic" w:hAnsi="Tahoma" w:cs="Tahoma"/>
          <w:b/>
          <w:bCs/>
          <w:sz w:val="32"/>
          <w:szCs w:val="32"/>
          <w:rtl/>
          <w:lang w:bidi="ar-EG"/>
        </w:rPr>
        <w:t>[</w:t>
      </w:r>
      <w:r w:rsidRPr="00962983">
        <w:rPr>
          <w:rFonts w:ascii="Courier New" w:hAnsi="Courier New" w:cs="Courier New"/>
          <w:b/>
          <w:bCs/>
          <w:sz w:val="32"/>
          <w:szCs w:val="32"/>
          <w:lang w:eastAsia="zh-CN"/>
        </w:rPr>
        <w:t xml:space="preserve"> </w:t>
      </w:r>
    </w:p>
    <w:p w:rsidR="00EE484A" w:rsidRPr="00962983" w:rsidRDefault="00EE484A" w:rsidP="00EE484A">
      <w:pPr>
        <w:bidi w:val="0"/>
        <w:spacing w:beforeLines="50"/>
        <w:jc w:val="center"/>
        <w:rPr>
          <w:rFonts w:ascii="Tahoma" w:eastAsia="MS UI Gothic" w:hAnsi="Tahoma" w:cs="Tahoma"/>
          <w:b/>
          <w:bCs/>
          <w:sz w:val="32"/>
          <w:szCs w:val="32"/>
          <w:lang w:eastAsia="zh-CN" w:bidi="ar-EG"/>
        </w:rPr>
      </w:pPr>
    </w:p>
    <w:p w:rsidR="00EB6455" w:rsidRDefault="00EB6455" w:rsidP="00EB6455">
      <w:pPr>
        <w:bidi w:val="0"/>
        <w:jc w:val="center"/>
        <w:rPr>
          <w:rFonts w:ascii="Courier New" w:hAnsi="Courier New" w:cs="Courier New"/>
          <w:b/>
          <w:bCs/>
          <w:szCs w:val="24"/>
          <w:lang w:eastAsia="zh-CN"/>
        </w:rPr>
      </w:pPr>
    </w:p>
    <w:p w:rsidR="002A289D" w:rsidRPr="002A289D" w:rsidRDefault="002A289D" w:rsidP="002A289D">
      <w:pPr>
        <w:spacing w:after="65"/>
        <w:jc w:val="center"/>
        <w:outlineLvl w:val="3"/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</w:rPr>
      </w:pPr>
      <w:r w:rsidRPr="002A289D">
        <w:rPr>
          <w:rFonts w:ascii="Helvetica" w:eastAsia="Times New Roman" w:hAnsi="Helvetica" w:cs="Times New Roman"/>
          <w:b/>
          <w:bCs/>
          <w:color w:val="1F497D" w:themeColor="text2"/>
          <w:sz w:val="48"/>
          <w:szCs w:val="48"/>
          <w:rtl/>
        </w:rPr>
        <w:t>الاحتفال في المناسبات والأعياد ، ما يجوز منه ، وما لا يجوز</w:t>
      </w:r>
    </w:p>
    <w:p w:rsidR="00EB6455" w:rsidRPr="00962983" w:rsidRDefault="00EB6455" w:rsidP="00EB6455">
      <w:pPr>
        <w:bidi w:val="0"/>
        <w:jc w:val="center"/>
        <w:rPr>
          <w:rFonts w:ascii="Courier New" w:hAnsi="Courier New" w:cs="Courier New"/>
          <w:b/>
          <w:bCs/>
          <w:sz w:val="36"/>
        </w:rPr>
      </w:pP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[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ب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>اللغة ا</w:t>
      </w:r>
      <w:r w:rsidRPr="00962983">
        <w:rPr>
          <w:rFonts w:ascii="mylotus" w:hAnsi="mylotus" w:cs="mylotus" w:hint="cs"/>
          <w:b/>
          <w:bCs/>
          <w:sz w:val="36"/>
          <w:rtl/>
          <w:lang w:bidi="ar-EG"/>
        </w:rPr>
        <w:t>لصينية</w:t>
      </w:r>
      <w:r w:rsidRPr="00962983">
        <w:rPr>
          <w:rFonts w:ascii="mylotus" w:hAnsi="mylotus" w:cs="mylotus"/>
          <w:b/>
          <w:bCs/>
          <w:sz w:val="36"/>
          <w:rtl/>
          <w:lang w:bidi="ar-EG"/>
        </w:rPr>
        <w:t xml:space="preserve"> ]</w:t>
      </w:r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  <w:bookmarkStart w:id="0" w:name="_GoBack"/>
      <w:bookmarkEnd w:id="0"/>
    </w:p>
    <w:p w:rsidR="00EB6455" w:rsidRDefault="00EB6455" w:rsidP="00EB6455">
      <w:pPr>
        <w:bidi w:val="0"/>
        <w:spacing w:before="150" w:after="150" w:line="284" w:lineRule="atLeast"/>
        <w:jc w:val="center"/>
        <w:rPr>
          <w:rFonts w:ascii="Arial" w:hAnsi="Arial" w:cs="Arial"/>
          <w:b/>
          <w:bCs/>
          <w:sz w:val="28"/>
          <w:szCs w:val="28"/>
        </w:rPr>
      </w:pPr>
    </w:p>
    <w:p w:rsidR="00EB6455" w:rsidRPr="00962983" w:rsidRDefault="00A60587" w:rsidP="00A60587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40"/>
          <w:szCs w:val="40"/>
          <w:lang w:val="tr-TR" w:eastAsia="zh-CN"/>
        </w:rPr>
      </w:pPr>
      <w:r w:rsidRPr="00962983">
        <w:rPr>
          <w:rFonts w:ascii="STXingkai" w:eastAsia="STXingkai"/>
          <w:b/>
          <w:bCs/>
          <w:sz w:val="40"/>
          <w:szCs w:val="40"/>
          <w:lang w:eastAsia="zh-CN"/>
        </w:rPr>
        <w:t>伊斯兰问答网站</w:t>
      </w:r>
    </w:p>
    <w:p w:rsidR="00EB6455" w:rsidRPr="00962983" w:rsidRDefault="00A60587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4"/>
          <w:szCs w:val="44"/>
          <w:lang w:bidi="ar-EG"/>
        </w:rPr>
      </w:pPr>
      <w:r w:rsidRPr="00962983">
        <w:rPr>
          <w:rFonts w:ascii="mylotus" w:hAnsi="mylotus" w:cs="mylotus" w:hint="cs"/>
          <w:b/>
          <w:bCs/>
          <w:sz w:val="44"/>
          <w:szCs w:val="44"/>
          <w:rtl/>
          <w:lang w:bidi="ar-EG"/>
        </w:rPr>
        <w:t>موقع</w:t>
      </w:r>
      <w:r w:rsidRPr="00962983">
        <w:rPr>
          <w:rFonts w:ascii="mylotus" w:hAnsi="mylotus" w:cs="mylotus"/>
          <w:b/>
          <w:bCs/>
          <w:sz w:val="44"/>
          <w:szCs w:val="44"/>
          <w:rtl/>
          <w:lang w:bidi="ar-EG"/>
        </w:rPr>
        <w:t xml:space="preserve"> الإسلام سؤال وجواب</w:t>
      </w:r>
    </w:p>
    <w:p w:rsidR="00EB6455" w:rsidRDefault="00EB6455" w:rsidP="002A289D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Default="00EB6455" w:rsidP="00EE484A">
      <w:pPr>
        <w:bidi w:val="0"/>
        <w:spacing w:line="240" w:lineRule="exact"/>
        <w:rPr>
          <w:rFonts w:ascii="mylotus" w:hAnsi="mylotus" w:cs="mylotus"/>
          <w:b/>
          <w:bCs/>
          <w:sz w:val="28"/>
          <w:szCs w:val="28"/>
          <w:lang w:eastAsia="zh-CN"/>
        </w:rPr>
      </w:pPr>
    </w:p>
    <w:p w:rsidR="00EB6455" w:rsidRPr="00D04B88" w:rsidRDefault="00A60587" w:rsidP="00856385">
      <w:pPr>
        <w:bidi w:val="0"/>
        <w:spacing w:before="150" w:after="150" w:line="284" w:lineRule="atLeast"/>
        <w:jc w:val="center"/>
        <w:rPr>
          <w:rFonts w:ascii="TR Bahamas Light" w:hAnsi="TR Bahamas Light" w:cs="AL-Mohanad"/>
          <w:b/>
          <w:bCs/>
          <w:sz w:val="36"/>
          <w:lang w:eastAsia="zh-CN"/>
        </w:rPr>
      </w:pPr>
      <w:r w:rsidRPr="00D04B88">
        <w:rPr>
          <w:rFonts w:ascii="STXinwei" w:eastAsia="STXinwei" w:hAnsi="Calibri" w:cs="KFGQPC Uthman Taha Naskh" w:hint="eastAsia"/>
          <w:b/>
          <w:bCs/>
          <w:color w:val="auto"/>
          <w:sz w:val="36"/>
          <w:lang w:eastAsia="zh-CN"/>
        </w:rPr>
        <w:t>编审</w:t>
      </w:r>
      <w:r w:rsidR="00EB6455" w:rsidRPr="00D04B88">
        <w:rPr>
          <w:rFonts w:ascii="STXingkai" w:eastAsia="STXingkai" w:hAnsi="TR Bahamas Light"/>
          <w:b/>
          <w:bCs/>
          <w:color w:val="auto"/>
          <w:sz w:val="36"/>
          <w:lang w:val="tr-TR" w:eastAsia="zh-CN"/>
        </w:rPr>
        <w:t>:</w:t>
      </w:r>
      <w:r w:rsidR="00EB6455" w:rsidRPr="00D04B88">
        <w:rPr>
          <w:rFonts w:ascii="TR Bahamas Light" w:hAnsi="TR Bahamas Light" w:cs="mylotus"/>
          <w:b/>
          <w:bCs/>
          <w:sz w:val="36"/>
          <w:lang w:eastAsia="zh-CN"/>
        </w:rPr>
        <w:t xml:space="preserve"> </w:t>
      </w:r>
      <w:r w:rsidR="00856385" w:rsidRPr="00D04B88">
        <w:rPr>
          <w:rFonts w:asciiTheme="minorEastAsia" w:eastAsiaTheme="minorEastAsia" w:hAnsiTheme="minorEastAsia" w:hint="eastAsia"/>
          <w:kern w:val="28"/>
          <w:sz w:val="36"/>
          <w:lang w:eastAsia="zh-CN"/>
        </w:rPr>
        <w:t>伊斯兰之家中文小组</w:t>
      </w:r>
    </w:p>
    <w:p w:rsidR="00EB6455" w:rsidRPr="00962983" w:rsidRDefault="00EB6455" w:rsidP="0085638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</w:rPr>
      </w:pP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مراجعة</w:t>
      </w:r>
      <w:r w:rsidRPr="00962983">
        <w:rPr>
          <w:rFonts w:ascii="mylotus" w:hAnsi="mylotus" w:cs="mylotus"/>
          <w:b/>
          <w:bCs/>
          <w:sz w:val="40"/>
          <w:szCs w:val="40"/>
          <w:rtl/>
        </w:rPr>
        <w:t xml:space="preserve">: </w:t>
      </w:r>
      <w:r w:rsidR="00856385" w:rsidRPr="00962983">
        <w:rPr>
          <w:rFonts w:ascii="mylotus" w:hAnsi="mylotus" w:cs="KFGQPC Uthman Taha Naskh" w:hint="cs"/>
          <w:sz w:val="40"/>
          <w:szCs w:val="40"/>
          <w:rtl/>
          <w:lang w:bidi="ar-EG"/>
        </w:rPr>
        <w:t>فريق اللغة الصينية بموقع دار الإسلام</w:t>
      </w: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Default="00EB6455" w:rsidP="00EB6455">
      <w:pPr>
        <w:bidi w:val="0"/>
        <w:spacing w:line="240" w:lineRule="exact"/>
        <w:jc w:val="center"/>
        <w:rPr>
          <w:rFonts w:ascii="mylotus" w:hAnsi="mylotus" w:cs="mylotus"/>
          <w:b/>
          <w:bCs/>
          <w:sz w:val="28"/>
          <w:szCs w:val="28"/>
        </w:rPr>
      </w:pPr>
    </w:p>
    <w:p w:rsidR="00EB6455" w:rsidRPr="0007149E" w:rsidRDefault="00EB6455" w:rsidP="00EB6455">
      <w:pPr>
        <w:bidi w:val="0"/>
        <w:spacing w:line="240" w:lineRule="exact"/>
        <w:jc w:val="center"/>
        <w:rPr>
          <w:rFonts w:ascii="STXingkai" w:eastAsia="STXingkai" w:hAnsi="TR Bahamas Light"/>
          <w:b/>
          <w:bCs/>
          <w:color w:val="800000"/>
          <w:sz w:val="48"/>
          <w:szCs w:val="48"/>
          <w:lang w:val="tr-TR"/>
        </w:rPr>
      </w:pP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TR Bahamas Light" w:hAnsi="TR Bahamas Light" w:cs="mylotus"/>
          <w:b/>
          <w:bCs/>
          <w:sz w:val="36"/>
          <w:lang w:eastAsia="zh-CN"/>
        </w:rPr>
      </w:pPr>
      <w:r w:rsidRPr="00962983">
        <w:rPr>
          <w:rFonts w:ascii="STXingkai" w:eastAsia="STXingkai" w:hint="eastAsia"/>
          <w:b/>
          <w:bCs/>
          <w:sz w:val="36"/>
          <w:lang w:eastAsia="zh-CN"/>
        </w:rPr>
        <w:t>沙特利雅得莱布宣传指导合作办公室</w:t>
      </w:r>
    </w:p>
    <w:p w:rsidR="00EB6455" w:rsidRPr="00962983" w:rsidRDefault="00EB6455" w:rsidP="00EB6455">
      <w:pPr>
        <w:bidi w:val="0"/>
        <w:spacing w:before="150" w:after="150" w:line="284" w:lineRule="atLeast"/>
        <w:jc w:val="center"/>
        <w:rPr>
          <w:rFonts w:ascii="mylotus" w:hAnsi="mylotus" w:cs="mylotus"/>
          <w:b/>
          <w:bCs/>
          <w:sz w:val="40"/>
          <w:szCs w:val="40"/>
          <w:rtl/>
        </w:rPr>
      </w:pPr>
      <w:r w:rsidRPr="00F954E8">
        <w:rPr>
          <w:rFonts w:ascii="mylotus" w:hAnsi="mylotus" w:cs="mylotus"/>
          <w:b/>
          <w:bCs/>
          <w:sz w:val="32"/>
          <w:szCs w:val="32"/>
          <w:rtl/>
        </w:rPr>
        <w:t xml:space="preserve"> </w:t>
      </w:r>
      <w:r w:rsidRPr="00962983">
        <w:rPr>
          <w:rFonts w:ascii="mylotus" w:hAnsi="mylotus" w:cs="mylotus" w:hint="cs"/>
          <w:b/>
          <w:bCs/>
          <w:sz w:val="40"/>
          <w:szCs w:val="40"/>
          <w:rtl/>
        </w:rPr>
        <w:t>المكتب التعاوني للدعوة وتوعية الجاليات بالربوة بمدينة الرياض</w:t>
      </w:r>
    </w:p>
    <w:p w:rsidR="00EB6455" w:rsidRDefault="00EB6455" w:rsidP="00402E66">
      <w:pPr>
        <w:bidi w:val="0"/>
        <w:spacing w:before="120" w:after="120"/>
        <w:ind w:firstLine="567"/>
        <w:jc w:val="center"/>
        <w:rPr>
          <w:rFonts w:ascii="MS UI Gothic" w:eastAsiaTheme="minorEastAsia" w:hAnsi="MS UI Gothic" w:cs="Times New Roman"/>
          <w:b/>
          <w:bCs/>
          <w:sz w:val="36"/>
          <w:lang w:eastAsia="zh-CN"/>
        </w:rPr>
      </w:pPr>
      <w:r w:rsidRPr="00962983">
        <w:rPr>
          <w:rFonts w:ascii="MS UI Gothic" w:eastAsia="MS UI Gothic" w:hAnsi="MS UI Gothic" w:cs="Times New Roman"/>
          <w:b/>
          <w:bCs/>
          <w:sz w:val="36"/>
        </w:rPr>
        <w:t>201</w:t>
      </w:r>
      <w:r w:rsidR="00402E66">
        <w:rPr>
          <w:rFonts w:ascii="MS UI Gothic" w:eastAsiaTheme="minorEastAsia" w:hAnsi="MS UI Gothic" w:cs="Times New Roman"/>
          <w:b/>
          <w:bCs/>
          <w:sz w:val="36"/>
          <w:lang w:eastAsia="zh-CN"/>
        </w:rPr>
        <w:t>5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</w:t>
      </w:r>
      <w:r w:rsidR="00EE484A">
        <w:rPr>
          <w:rFonts w:ascii="MS UI Gothic" w:eastAsia="MS UI Gothic" w:hAnsi="MS UI Gothic" w:cs="Times New Roman"/>
          <w:b/>
          <w:bCs/>
          <w:sz w:val="36"/>
        </w:rPr>
        <w:t>–</w:t>
      </w:r>
      <w:r w:rsidRPr="00962983">
        <w:rPr>
          <w:rFonts w:ascii="MS UI Gothic" w:eastAsia="MS UI Gothic" w:hAnsi="MS UI Gothic" w:cs="Times New Roman"/>
          <w:b/>
          <w:bCs/>
          <w:sz w:val="36"/>
        </w:rPr>
        <w:t xml:space="preserve"> 14</w:t>
      </w:r>
      <w:r w:rsidR="00856385" w:rsidRPr="00962983">
        <w:rPr>
          <w:rFonts w:ascii="MS UI Gothic" w:eastAsiaTheme="minorEastAsia" w:hAnsi="MS UI Gothic" w:cs="Times New Roman" w:hint="eastAsia"/>
          <w:b/>
          <w:bCs/>
          <w:sz w:val="36"/>
          <w:lang w:eastAsia="zh-CN"/>
        </w:rPr>
        <w:t>3</w:t>
      </w:r>
      <w:r w:rsidR="00402E66">
        <w:rPr>
          <w:rFonts w:ascii="MS UI Gothic" w:eastAsiaTheme="minorEastAsia" w:hAnsi="MS UI Gothic" w:cs="Times New Roman"/>
          <w:b/>
          <w:bCs/>
          <w:sz w:val="36"/>
          <w:lang w:eastAsia="zh-CN"/>
        </w:rPr>
        <w:t>6</w:t>
      </w:r>
    </w:p>
    <w:p w:rsidR="00EB6455" w:rsidRDefault="00EB6455" w:rsidP="00EB6455">
      <w:pPr>
        <w:bidi w:val="0"/>
        <w:spacing w:before="120" w:after="120"/>
        <w:ind w:firstLine="567"/>
        <w:jc w:val="center"/>
        <w:rPr>
          <w:rFonts w:ascii="Tahoma" w:hAnsi="Tahoma" w:cs="Tahoma"/>
          <w:rtl/>
        </w:rPr>
      </w:pPr>
      <w:r>
        <w:rPr>
          <w:rFonts w:ascii="MS UI Gothic" w:eastAsia="MS UI Gothic" w:hAnsi="MS UI Gothic" w:cs="Times New Roman"/>
          <w:b/>
          <w:bCs/>
          <w:noProof/>
          <w:sz w:val="32"/>
          <w:szCs w:val="32"/>
        </w:rPr>
        <w:drawing>
          <wp:inline distT="0" distB="0" distL="0" distR="0">
            <wp:extent cx="3553691" cy="581891"/>
            <wp:effectExtent l="0" t="0" r="0" b="8890"/>
            <wp:docPr id="4" name="图片 4" descr="C:\Documents and Settings\apomosap\My Documents\My Pictures\logo_islamhouse.tif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pomosap\My Documents\My Pictures\logo_islamhouse.t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3460" cy="581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0587" w:rsidRPr="00A60587" w:rsidRDefault="00A60587" w:rsidP="00A60587">
      <w:pPr>
        <w:spacing w:after="200" w:line="276" w:lineRule="auto"/>
        <w:jc w:val="center"/>
        <w:rPr>
          <w:rFonts w:ascii="Calibri" w:hAnsi="Calibri" w:cs="Arial"/>
          <w:color w:val="auto"/>
          <w:sz w:val="22"/>
          <w:szCs w:val="22"/>
          <w:lang w:eastAsia="zh-CN"/>
        </w:rPr>
      </w:pPr>
      <w:r w:rsidRPr="00A60587">
        <w:rPr>
          <w:rFonts w:ascii="Calibri" w:hAnsi="Calibri" w:cs="Arial"/>
          <w:noProof/>
          <w:color w:val="auto"/>
          <w:sz w:val="22"/>
          <w:szCs w:val="22"/>
        </w:rPr>
        <w:lastRenderedPageBreak/>
        <w:drawing>
          <wp:inline distT="0" distB="0" distL="0" distR="0">
            <wp:extent cx="2059131" cy="489789"/>
            <wp:effectExtent l="19050" t="0" r="0" b="0"/>
            <wp:docPr id="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181" cy="490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1908" w:rsidRPr="006412A0" w:rsidRDefault="008C1908" w:rsidP="008C1908">
      <w:pPr>
        <w:spacing w:beforeLines="50" w:afterLines="50" w:line="460" w:lineRule="exact"/>
        <w:jc w:val="center"/>
        <w:rPr>
          <w:rFonts w:ascii="KaiTi" w:eastAsia="KaiTi" w:hAnsi="KaiTi" w:cs="KFGQPC Uthman Taha Naskh"/>
          <w:b/>
          <w:bCs/>
          <w:color w:val="333399"/>
          <w:sz w:val="32"/>
          <w:szCs w:val="32"/>
          <w:lang w:eastAsia="zh-CN"/>
        </w:rPr>
      </w:pPr>
      <w:r w:rsidRPr="006412A0">
        <w:rPr>
          <w:rFonts w:ascii="KaiTi" w:eastAsia="KaiTi" w:hAnsi="KaiTi" w:cs="KFGQPC Uthman Taha Naskh" w:hint="eastAsia"/>
          <w:b/>
          <w:bCs/>
          <w:color w:val="333399"/>
          <w:sz w:val="32"/>
          <w:szCs w:val="32"/>
          <w:lang w:eastAsia="zh-CN"/>
        </w:rPr>
        <w:t>奉普慈特慈的真主之名</w:t>
      </w:r>
    </w:p>
    <w:p w:rsidR="00A60587" w:rsidRPr="00A60587" w:rsidRDefault="00A60587" w:rsidP="008C1908">
      <w:pPr>
        <w:bidi w:val="0"/>
        <w:spacing w:beforeLines="50" w:afterLines="50" w:line="460" w:lineRule="exact"/>
        <w:jc w:val="center"/>
        <w:rPr>
          <w:rFonts w:ascii="STXingkai" w:eastAsia="STXingkai" w:hAnsi="Calibri" w:cs="KFGQPC Uthman Taha Naskh"/>
          <w:b/>
          <w:bCs/>
          <w:color w:val="333399"/>
          <w:sz w:val="32"/>
          <w:szCs w:val="32"/>
          <w:lang w:eastAsia="zh-CN"/>
        </w:rPr>
      </w:pPr>
    </w:p>
    <w:p w:rsidR="002A289D" w:rsidRPr="002A289D" w:rsidRDefault="002A289D" w:rsidP="002A289D">
      <w:pPr>
        <w:pStyle w:val="Heading4"/>
        <w:shd w:val="clear" w:color="auto" w:fill="FFFFFF"/>
        <w:spacing w:before="0" w:beforeAutospacing="0" w:after="60" w:afterAutospacing="0"/>
        <w:jc w:val="center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SimSun" w:hint="eastAsia"/>
          <w:color w:val="000000" w:themeColor="text1"/>
          <w:sz w:val="36"/>
          <w:szCs w:val="36"/>
        </w:rPr>
        <w:t>关于庆祝节日的允许的事项和不允许的事项</w:t>
      </w:r>
    </w:p>
    <w:p w:rsidR="002A289D" w:rsidRPr="002A289D" w:rsidRDefault="002A289D" w:rsidP="002A289D">
      <w:pPr>
        <w:shd w:val="clear" w:color="auto" w:fill="FFFFFF"/>
        <w:spacing w:before="240" w:after="240" w:line="240" w:lineRule="atLeast"/>
        <w:jc w:val="both"/>
        <w:rPr>
          <w:rFonts w:asciiTheme="minorEastAsia" w:eastAsiaTheme="minorEastAsia" w:hAnsiTheme="minorEastAsia" w:cs="Tahoma"/>
          <w:color w:val="000000" w:themeColor="text1"/>
          <w:sz w:val="36"/>
        </w:rPr>
      </w:pP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问：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在这个时代里，我们与各国人民共同生活在地球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村，我们可以按照伊斯兰的方式庆祝个人的生日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和婚礼活动吗？只要这些庆祝活动不属于任何宗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教，不像基督教的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万圣节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、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圣诞节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和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情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人节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、或者印度教的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排灯节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和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凯旋节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”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等，可以庆祝与宗教没有关系的节令吗？我知道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可以举行简单的庆祝活动，正如在以下网站的法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特瓦中所说的那样：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 xml:space="preserve">daruliftaa.com; 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islamonline.net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，但是我觉得很难说服我的孩子，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我们和周围的人在过去的</w:t>
      </w:r>
      <w:r w:rsidRPr="002A289D">
        <w:rPr>
          <w:rFonts w:asciiTheme="minorEastAsia" w:eastAsiaTheme="minorEastAsia" w:hAnsiTheme="minorEastAsia" w:cs="Tahoma"/>
          <w:color w:val="FF0000"/>
          <w:sz w:val="36"/>
          <w:szCs w:val="36"/>
        </w:rPr>
        <w:t>15</w:t>
      </w: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年中举行的庆祝生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日的活动是不符合伊斯兰教法的，而且我们的宗</w:t>
      </w:r>
    </w:p>
    <w:p w:rsid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Microsoft YaHei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t>教是不接受这一切的。希望你们不吝赐教，消除</w:t>
      </w:r>
    </w:p>
    <w:p w:rsidR="002A289D" w:rsidRPr="002A289D" w:rsidRDefault="002A289D" w:rsidP="002A289D">
      <w:pPr>
        <w:pStyle w:val="list-group-item-text"/>
        <w:shd w:val="clear" w:color="auto" w:fill="FFFFFF"/>
        <w:spacing w:before="0" w:beforeAutospacing="0" w:after="0" w:afterAutospacing="0" w:line="480" w:lineRule="auto"/>
        <w:ind w:firstLine="708"/>
        <w:jc w:val="both"/>
        <w:rPr>
          <w:rFonts w:asciiTheme="minorEastAsia" w:eastAsiaTheme="minorEastAsia" w:hAnsiTheme="minorEastAsia" w:cs="Tahoma"/>
          <w:color w:val="FF0000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FF0000"/>
          <w:sz w:val="36"/>
          <w:szCs w:val="36"/>
        </w:rPr>
        <w:lastRenderedPageBreak/>
        <w:t>我们心中的一切疑惑。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答：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一切赞颂，全归真主。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 </w:t>
      </w:r>
      <w:r>
        <w:rPr>
          <w:rFonts w:asciiTheme="minorEastAsia" w:eastAsiaTheme="minorEastAsia" w:hAnsiTheme="minorEastAsia" w:cs="Tahoma" w:hint="eastAsia"/>
          <w:color w:val="000000" w:themeColor="text1"/>
          <w:sz w:val="36"/>
          <w:szCs w:val="36"/>
        </w:rPr>
        <w:t xml:space="preserve">  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真主的教法中可以举办婚礼的庆祝活动、或者其他世俗的活动，但是不能出现教法禁止的罪恶，比如男女混杂和弹奏乐器等现象，而且这些庆祝活动并不是接近真主的宗教功修，它仅仅是为了表现快乐和高兴的聚会；从根本上来说，一切习惯是允许的，而宗教功修与之不同，从根本上来说是禁止的，除非有合法的证据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凡是包含违抗真主的罪恶的庆祝活动是伊斯兰教禁止的，包含模仿异教徒的行为的庆祝活动也是被禁止的，比如庆祝生日和母亲节；如果庆祝这些节日的形式与庆祝合法节日的形式一样，那么这是严加禁止的；实际上庆祝生日和母亲节就是模仿异教徒的行为，教法禁止我们去模仿他们的行为，如果庆祝者的目的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就是以此接近真主，那么这是严加禁止的，因为其中包括罪恶和异端。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有人向学术研究和教法律例常任委员会的学者们询问：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庆祝男孩子生日的教法律例是什么？我们这里有人认为在这一天封斋比庆祝生日更好，这是正确的吗？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他们回答：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庆祝生日或者为了生日而封斋，这些都是异端，毫无教法根据，穆斯林应该通过真主规定的主命和副功等宗教功修接近真主，时时刻刻感谢真主，赞颂真主，长年累月，不可松懈，因为真主使他身体健康、身心无恙、钱财和子女安全。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谢赫阿卜杜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巴兹、谢赫萨利赫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福扎尼、谢赫伯克尔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艾布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·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宰德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《学术研究和教法律例常任委员会法特瓦》（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 / 260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、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261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lastRenderedPageBreak/>
        <w:t>欲了解谢赫阿卜杜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阿齐兹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本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巴兹和谢赫伊本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欧塞米尼关于庆祝圣诞节的教法律例，敬请参阅（</w:t>
      </w:r>
      <w:hyperlink r:id="rId10" w:history="1">
        <w:r w:rsidRPr="002A289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1027</w:t>
        </w:r>
      </w:hyperlink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）和（</w:t>
      </w:r>
      <w:hyperlink r:id="rId11" w:history="1">
        <w:r w:rsidRPr="002A289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26804</w:t>
        </w:r>
      </w:hyperlink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欲了解谢赫伊本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•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欧塞米尼关于庆祝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母亲节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的法特瓦，敬请参阅（</w:t>
      </w:r>
      <w:hyperlink r:id="rId12" w:history="1">
        <w:r w:rsidRPr="002A289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59905</w:t>
        </w:r>
      </w:hyperlink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 xml:space="preserve">    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在我们的网站有一篇文章，详细的阐明了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“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母亲节</w:t>
      </w:r>
      <w:r w:rsidRPr="002A289D"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  <w:t>”</w:t>
      </w: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的历史渊源，以及学者们对庆祝这个节日的教法律例的法特瓦，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欲了解关于异端节日的概要，敬请参阅（</w:t>
      </w:r>
      <w:hyperlink r:id="rId13" w:history="1">
        <w:r w:rsidRPr="002A289D">
          <w:rPr>
            <w:rStyle w:val="Hyperlink"/>
            <w:rFonts w:asciiTheme="minorEastAsia" w:eastAsiaTheme="minorEastAsia" w:hAnsiTheme="minorEastAsia" w:cs="Tahoma"/>
            <w:color w:val="000000" w:themeColor="text1"/>
            <w:sz w:val="36"/>
            <w:szCs w:val="36"/>
          </w:rPr>
          <w:t>10070</w:t>
        </w:r>
      </w:hyperlink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）号问题的回答。</w:t>
      </w:r>
    </w:p>
    <w:p w:rsidR="002A289D" w:rsidRPr="002A289D" w:rsidRDefault="002A289D" w:rsidP="002A289D">
      <w:pPr>
        <w:pStyle w:val="NormalWeb"/>
        <w:shd w:val="clear" w:color="auto" w:fill="FFFFFF"/>
        <w:spacing w:before="0" w:beforeAutospacing="0" w:after="120" w:afterAutospacing="0" w:line="480" w:lineRule="auto"/>
        <w:jc w:val="both"/>
        <w:rPr>
          <w:rFonts w:asciiTheme="minorEastAsia" w:eastAsiaTheme="minorEastAsia" w:hAnsiTheme="minorEastAsia" w:cs="Tahoma"/>
          <w:color w:val="000000" w:themeColor="text1"/>
          <w:sz w:val="36"/>
          <w:szCs w:val="36"/>
        </w:rPr>
      </w:pPr>
      <w:r w:rsidRPr="002A289D">
        <w:rPr>
          <w:rFonts w:asciiTheme="minorEastAsia" w:eastAsiaTheme="minorEastAsia" w:hAnsiTheme="minorEastAsia" w:cs="Microsoft YaHei" w:hint="eastAsia"/>
          <w:color w:val="000000" w:themeColor="text1"/>
          <w:sz w:val="36"/>
          <w:szCs w:val="36"/>
        </w:rPr>
        <w:t>真主至知！</w:t>
      </w:r>
    </w:p>
    <w:p w:rsidR="00A60587" w:rsidRPr="00A60587" w:rsidRDefault="00A60587" w:rsidP="00A60587">
      <w:pPr>
        <w:shd w:val="clear" w:color="auto" w:fill="FFFFFF"/>
        <w:bidi w:val="0"/>
        <w:spacing w:after="120" w:line="480" w:lineRule="auto"/>
        <w:jc w:val="both"/>
        <w:rPr>
          <w:rFonts w:ascii="SimSun" w:hAnsi="SimSun" w:cs="Tahoma"/>
          <w:b/>
          <w:bCs/>
          <w:color w:val="auto"/>
          <w:sz w:val="28"/>
          <w:szCs w:val="28"/>
          <w:lang w:eastAsia="zh-CN"/>
        </w:rPr>
      </w:pPr>
    </w:p>
    <w:sectPr w:rsidR="00A60587" w:rsidRPr="00A60587" w:rsidSect="00156EB3">
      <w:footerReference w:type="even" r:id="rId14"/>
      <w:footerReference w:type="default" r:id="rId15"/>
      <w:footnotePr>
        <w:numFmt w:val="decimalEnclosedCircleChinese"/>
        <w:numRestart w:val="eachPage"/>
      </w:footnotePr>
      <w:pgSz w:w="11906" w:h="16838"/>
      <w:pgMar w:top="719" w:right="1800" w:bottom="899" w:left="1800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177C" w:rsidRDefault="000B177C" w:rsidP="00EB6455">
      <w:r>
        <w:separator/>
      </w:r>
    </w:p>
  </w:endnote>
  <w:endnote w:type="continuationSeparator" w:id="1">
    <w:p w:rsidR="000B177C" w:rsidRDefault="000B177C" w:rsidP="00EB64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ylotus">
    <w:altName w:val="Times New Roman"/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STXingka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TR Bahamas Light">
    <w:altName w:val="Arial"/>
    <w:panose1 w:val="020B0500000000000000"/>
    <w:charset w:val="00"/>
    <w:family w:val="swiss"/>
    <w:pitch w:val="variable"/>
    <w:sig w:usb0="00000007" w:usb1="00000000" w:usb2="00000000" w:usb3="00000000" w:csb0="00000011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TXinwei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KFGQPC Uthman Taha Naskh">
    <w:altName w:val="Times New Roman"/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331" w:rsidRDefault="00242C65" w:rsidP="007C2C4F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 w:rsidR="00DB44B1"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5C5331" w:rsidRDefault="000B177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6EB3" w:rsidRDefault="00242C65" w:rsidP="00140785">
    <w:pPr>
      <w:pStyle w:val="Footer"/>
      <w:jc w:val="center"/>
      <w:rPr>
        <w:sz w:val="28"/>
        <w:szCs w:val="28"/>
        <w:lang w:bidi="ar-EG"/>
      </w:rPr>
    </w:pPr>
    <w:r w:rsidRPr="00923817">
      <w:rPr>
        <w:sz w:val="28"/>
        <w:szCs w:val="28"/>
      </w:rPr>
      <w:fldChar w:fldCharType="begin"/>
    </w:r>
    <w:r w:rsidR="00DB44B1" w:rsidRPr="00923817">
      <w:rPr>
        <w:sz w:val="28"/>
        <w:szCs w:val="28"/>
      </w:rPr>
      <w:instrText xml:space="preserve"> PAGE  \* Arabic  \* MERGEFORMAT </w:instrText>
    </w:r>
    <w:r w:rsidRPr="00923817">
      <w:rPr>
        <w:sz w:val="28"/>
        <w:szCs w:val="28"/>
      </w:rPr>
      <w:fldChar w:fldCharType="separate"/>
    </w:r>
    <w:r w:rsidR="00402E66">
      <w:rPr>
        <w:noProof/>
        <w:sz w:val="28"/>
        <w:szCs w:val="28"/>
      </w:rPr>
      <w:t>5</w:t>
    </w:r>
    <w:r w:rsidRPr="00923817">
      <w:rPr>
        <w:sz w:val="28"/>
        <w:szCs w:val="28"/>
      </w:rPr>
      <w:fldChar w:fldCharType="end"/>
    </w:r>
  </w:p>
  <w:p w:rsidR="005C5331" w:rsidRPr="00156EB3" w:rsidRDefault="000B177C" w:rsidP="00156EB3">
    <w:pPr>
      <w:pStyle w:val="Footer"/>
      <w:rPr>
        <w:lang w:bidi="ar-E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177C" w:rsidRDefault="000B177C" w:rsidP="00EB6455">
      <w:r>
        <w:separator/>
      </w:r>
    </w:p>
  </w:footnote>
  <w:footnote w:type="continuationSeparator" w:id="1">
    <w:p w:rsidR="000B177C" w:rsidRDefault="000B177C" w:rsidP="00EB64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/>
  </w:hdrShapeDefaults>
  <w:footnotePr>
    <w:numFmt w:val="decimalEnclosedCircleChinese"/>
    <w:numRestart w:val="eachPage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6455"/>
    <w:rsid w:val="00035EBD"/>
    <w:rsid w:val="0007618C"/>
    <w:rsid w:val="000777D6"/>
    <w:rsid w:val="000B177C"/>
    <w:rsid w:val="00122361"/>
    <w:rsid w:val="00157B23"/>
    <w:rsid w:val="001743FA"/>
    <w:rsid w:val="0019347C"/>
    <w:rsid w:val="001B6333"/>
    <w:rsid w:val="002350D4"/>
    <w:rsid w:val="00242C65"/>
    <w:rsid w:val="00274430"/>
    <w:rsid w:val="002804F9"/>
    <w:rsid w:val="002A289D"/>
    <w:rsid w:val="002A30C7"/>
    <w:rsid w:val="0031151D"/>
    <w:rsid w:val="00352158"/>
    <w:rsid w:val="003B55D3"/>
    <w:rsid w:val="00402E66"/>
    <w:rsid w:val="00442CC2"/>
    <w:rsid w:val="00462A59"/>
    <w:rsid w:val="00482F6F"/>
    <w:rsid w:val="004E1EA8"/>
    <w:rsid w:val="005056E6"/>
    <w:rsid w:val="005C6719"/>
    <w:rsid w:val="005F220A"/>
    <w:rsid w:val="0061619F"/>
    <w:rsid w:val="00616C3E"/>
    <w:rsid w:val="006412A0"/>
    <w:rsid w:val="00657854"/>
    <w:rsid w:val="0066117B"/>
    <w:rsid w:val="006D5DD9"/>
    <w:rsid w:val="006D7939"/>
    <w:rsid w:val="007B587A"/>
    <w:rsid w:val="00844DDF"/>
    <w:rsid w:val="00856385"/>
    <w:rsid w:val="008B2286"/>
    <w:rsid w:val="008C1908"/>
    <w:rsid w:val="0093085A"/>
    <w:rsid w:val="00935B96"/>
    <w:rsid w:val="00945734"/>
    <w:rsid w:val="00962983"/>
    <w:rsid w:val="009750B0"/>
    <w:rsid w:val="009D344A"/>
    <w:rsid w:val="00A11098"/>
    <w:rsid w:val="00A2494F"/>
    <w:rsid w:val="00A3521C"/>
    <w:rsid w:val="00A60587"/>
    <w:rsid w:val="00B47812"/>
    <w:rsid w:val="00B83686"/>
    <w:rsid w:val="00BC1D95"/>
    <w:rsid w:val="00C11F71"/>
    <w:rsid w:val="00C5412A"/>
    <w:rsid w:val="00CC3482"/>
    <w:rsid w:val="00CD6F06"/>
    <w:rsid w:val="00CD733C"/>
    <w:rsid w:val="00D04B88"/>
    <w:rsid w:val="00D15E7D"/>
    <w:rsid w:val="00D36432"/>
    <w:rsid w:val="00D860D2"/>
    <w:rsid w:val="00DB44B1"/>
    <w:rsid w:val="00DC4991"/>
    <w:rsid w:val="00DC54D7"/>
    <w:rsid w:val="00DF5A57"/>
    <w:rsid w:val="00E13455"/>
    <w:rsid w:val="00EB6455"/>
    <w:rsid w:val="00EE484A"/>
    <w:rsid w:val="00FD18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455"/>
    <w:pPr>
      <w:bidi/>
    </w:pPr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2804F9"/>
    <w:pPr>
      <w:bidi w:val="0"/>
      <w:spacing w:before="100" w:beforeAutospacing="1" w:after="100" w:afterAutospacing="1"/>
      <w:outlineLvl w:val="3"/>
    </w:pPr>
    <w:rPr>
      <w:rFonts w:eastAsia="Times New Roman" w:cs="Times New Roman"/>
      <w:b/>
      <w:bCs/>
      <w:color w:val="auto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EB6455"/>
    <w:rPr>
      <w:rFonts w:ascii="Times New Roman" w:eastAsia="SimSun" w:hAnsi="Times New Roman" w:cs="Times New Roman"/>
      <w:kern w:val="0"/>
      <w:sz w:val="20"/>
      <w:szCs w:val="20"/>
      <w:lang w:eastAsia="ar-SA"/>
    </w:rPr>
  </w:style>
  <w:style w:type="character" w:styleId="FootnoteReference">
    <w:name w:val="footnote reference"/>
    <w:basedOn w:val="DefaultParagraphFont"/>
    <w:semiHidden/>
    <w:rsid w:val="00EB6455"/>
    <w:rPr>
      <w:rFonts w:ascii="Times New Roman" w:hAnsi="Times New Roman" w:cs="Times New Roman"/>
      <w:vertAlign w:val="superscript"/>
    </w:rPr>
  </w:style>
  <w:style w:type="paragraph" w:styleId="Footer">
    <w:name w:val="footer"/>
    <w:basedOn w:val="Normal"/>
    <w:link w:val="FooterChar"/>
    <w:rsid w:val="00EB645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B6455"/>
    <w:rPr>
      <w:rFonts w:ascii="Times New Roman" w:eastAsia="SimSun" w:hAnsi="Times New Roman" w:cs="Traditional Arabic"/>
      <w:color w:val="000000"/>
      <w:kern w:val="0"/>
      <w:sz w:val="24"/>
      <w:szCs w:val="36"/>
      <w:lang w:eastAsia="en-US"/>
    </w:rPr>
  </w:style>
  <w:style w:type="character" w:styleId="PageNumber">
    <w:name w:val="page number"/>
    <w:basedOn w:val="DefaultParagraphFont"/>
    <w:rsid w:val="00EB6455"/>
  </w:style>
  <w:style w:type="paragraph" w:styleId="BalloonText">
    <w:name w:val="Balloon Text"/>
    <w:basedOn w:val="Normal"/>
    <w:link w:val="BalloonTextChar"/>
    <w:uiPriority w:val="99"/>
    <w:semiHidden/>
    <w:unhideWhenUsed/>
    <w:rsid w:val="00EB645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55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DF5A57"/>
    <w:rPr>
      <w:rFonts w:ascii="Times New Roman" w:eastAsia="SimSun" w:hAnsi="Times New Roman" w:cs="Traditional Arabic"/>
      <w:color w:val="000000"/>
      <w:kern w:val="0"/>
      <w:sz w:val="18"/>
      <w:szCs w:val="18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2804F9"/>
    <w:rPr>
      <w:rFonts w:ascii="Times New Roman" w:eastAsia="Times New Roman" w:hAnsi="Times New Roman" w:cs="Times New Roman"/>
      <w:b/>
      <w:bCs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A289D"/>
    <w:rPr>
      <w:color w:val="0000FF" w:themeColor="hyperlink"/>
      <w:u w:val="single"/>
    </w:rPr>
  </w:style>
  <w:style w:type="paragraph" w:customStyle="1" w:styleId="list-group-item-text">
    <w:name w:val="list-group-item-text"/>
    <w:basedOn w:val="Normal"/>
    <w:rsid w:val="002A289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2A289D"/>
    <w:pPr>
      <w:bidi w:val="0"/>
      <w:spacing w:before="100" w:beforeAutospacing="1" w:after="100" w:afterAutospacing="1"/>
    </w:pPr>
    <w:rPr>
      <w:rFonts w:eastAsia="Times New Roman" w:cs="Times New Roman"/>
      <w:color w:val="auto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55"/>
    <w:pPr>
      <w:bidi/>
    </w:pPr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rsid w:val="00EB6455"/>
    <w:rPr>
      <w:rFonts w:cs="Times New Roman"/>
      <w:color w:val="auto"/>
      <w:sz w:val="20"/>
      <w:szCs w:val="20"/>
      <w:lang w:eastAsia="ar-SA"/>
    </w:rPr>
  </w:style>
  <w:style w:type="character" w:customStyle="1" w:styleId="Char">
    <w:name w:val="脚注文本 Char"/>
    <w:basedOn w:val="a0"/>
    <w:link w:val="a3"/>
    <w:semiHidden/>
    <w:rsid w:val="00EB6455"/>
    <w:rPr>
      <w:rFonts w:ascii="Times New Roman" w:eastAsia="宋体" w:hAnsi="Times New Roman" w:cs="Times New Roman"/>
      <w:kern w:val="0"/>
      <w:sz w:val="20"/>
      <w:szCs w:val="20"/>
      <w:lang w:eastAsia="ar-SA"/>
    </w:rPr>
  </w:style>
  <w:style w:type="character" w:styleId="a4">
    <w:name w:val="footnote reference"/>
    <w:basedOn w:val="a0"/>
    <w:semiHidden/>
    <w:rsid w:val="00EB6455"/>
    <w:rPr>
      <w:rFonts w:ascii="Times New Roman" w:hAnsi="Times New Roman" w:cs="Times New Roman"/>
      <w:vertAlign w:val="superscript"/>
    </w:rPr>
  </w:style>
  <w:style w:type="paragraph" w:styleId="a5">
    <w:name w:val="footer"/>
    <w:aliases w:val="Footer"/>
    <w:basedOn w:val="a"/>
    <w:link w:val="Char0"/>
    <w:rsid w:val="00EB6455"/>
    <w:pPr>
      <w:tabs>
        <w:tab w:val="center" w:pos="4153"/>
        <w:tab w:val="right" w:pos="8306"/>
      </w:tabs>
    </w:pPr>
  </w:style>
  <w:style w:type="character" w:customStyle="1" w:styleId="Char0">
    <w:name w:val="页脚 Char"/>
    <w:aliases w:val="Footer Char"/>
    <w:basedOn w:val="a0"/>
    <w:link w:val="a5"/>
    <w:rsid w:val="00EB6455"/>
    <w:rPr>
      <w:rFonts w:ascii="Times New Roman" w:eastAsia="宋体" w:hAnsi="Times New Roman" w:cs="Traditional Arabic"/>
      <w:color w:val="000000"/>
      <w:kern w:val="0"/>
      <w:sz w:val="24"/>
      <w:szCs w:val="36"/>
      <w:lang w:eastAsia="en-US"/>
    </w:rPr>
  </w:style>
  <w:style w:type="character" w:styleId="a6">
    <w:name w:val="page number"/>
    <w:basedOn w:val="a0"/>
    <w:rsid w:val="00EB6455"/>
  </w:style>
  <w:style w:type="paragraph" w:styleId="a7">
    <w:name w:val="Balloon Text"/>
    <w:basedOn w:val="a"/>
    <w:link w:val="Char1"/>
    <w:uiPriority w:val="99"/>
    <w:semiHidden/>
    <w:unhideWhenUsed/>
    <w:rsid w:val="00EB6455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B6455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  <w:style w:type="paragraph" w:styleId="a8">
    <w:name w:val="header"/>
    <w:basedOn w:val="a"/>
    <w:link w:val="Char2"/>
    <w:uiPriority w:val="99"/>
    <w:unhideWhenUsed/>
    <w:rsid w:val="00DF5A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DF5A57"/>
    <w:rPr>
      <w:rFonts w:ascii="Times New Roman" w:eastAsia="宋体" w:hAnsi="Times New Roman" w:cs="Traditional Arabic"/>
      <w:color w:val="000000"/>
      <w:kern w:val="0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apomosap\My%20Documents\My%20Pictures\logo_islamhouse.tif" TargetMode="External"/><Relationship Id="rId13" Type="http://schemas.openxmlformats.org/officeDocument/2006/relationships/hyperlink" Target="http://islamqa.info/zh/10070" TargetMode="Externa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hyperlink" Target="http://islamqa.info/zh/59905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slamhouse.com/" TargetMode="External"/><Relationship Id="rId11" Type="http://schemas.openxmlformats.org/officeDocument/2006/relationships/hyperlink" Target="http://islamqa.info/zh/26804" TargetMode="External"/><Relationship Id="rId5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hyperlink" Target="http://islamqa.info/zh/1027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737</Words>
  <Characters>864</Characters>
  <Application>Microsoft Office Word</Application>
  <DocSecurity>0</DocSecurity>
  <Lines>57</Lines>
  <Paragraphs>47</Paragraphs>
  <ScaleCrop>false</ScaleCrop>
  <Manager/>
  <Company>islamhouse.com</Company>
  <LinksUpToDate>false</LinksUpToDate>
  <CharactersWithSpaces>1554</CharactersWithSpaces>
  <SharedDoc>false</SharedDoc>
  <HyperlinkBase>www.islamhouse.com</HyperlinkBase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关于庆祝节日的允许的事项和不允许的事项</dc:title>
  <dc:subject>关于庆祝节日的允许的事项和不允许的事项</dc:subject>
  <dc:creator>伊斯兰问答网站_x000d_</dc:creator>
  <cp:keywords>关于庆祝节日的允许的事项和不允许的事项</cp:keywords>
  <dc:description>关于庆祝节日的允许的事项和不允许的事项</dc:description>
  <cp:lastModifiedBy>HP</cp:lastModifiedBy>
  <cp:revision>3</cp:revision>
  <dcterms:created xsi:type="dcterms:W3CDTF">2015-01-10T11:43:00Z</dcterms:created>
  <dcterms:modified xsi:type="dcterms:W3CDTF">2015-01-25T14:25:00Z</dcterms:modified>
  <cp:category/>
</cp:coreProperties>
</file>