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9178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E6CF4" w:rsidRPr="00DE6CF4" w:rsidRDefault="00DE6CF4" w:rsidP="00DE6CF4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DE6CF4">
        <w:rPr>
          <w:rFonts w:ascii="SimSun" w:eastAsia="SimSun" w:hAnsi="SimSun" w:cs="SimSun" w:hint="eastAsia"/>
          <w:color w:val="1F497D" w:themeColor="text2"/>
          <w:sz w:val="48"/>
          <w:szCs w:val="48"/>
        </w:rPr>
        <w:t>是否允许体外排精及使用避孕套？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E6CF4" w:rsidRPr="00DE6CF4" w:rsidRDefault="00DE6CF4" w:rsidP="00DE6CF4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E6CF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العزل أو استخدام الواقي؟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C2C4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C2C4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C2C4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9111B" w:rsidRPr="00A9111B" w:rsidRDefault="00A9111B" w:rsidP="00A9111B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9111B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是否允许体外排精及使用避孕套？</w:t>
      </w:r>
    </w:p>
    <w:p w:rsidR="00A9111B" w:rsidRPr="00A9111B" w:rsidRDefault="00A9111B" w:rsidP="00A9111B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9111B" w:rsidRDefault="00A9111B" w:rsidP="00A9111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A9111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新婚之夜，是否允许采取避孕？提出这个问题是</w:t>
      </w:r>
    </w:p>
    <w:p w:rsidR="00A9111B" w:rsidRPr="00A9111B" w:rsidRDefault="00A9111B" w:rsidP="00A9111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A9111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因为我们不想在婚后很快要孩子。请给予解答。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如果不想要孩子，避孕是允许的，使用避孕工具也是允许的，但这必须经过妻子的同意，因为她也有享乐的权利，以及生育子女的权利，证据是：贾比尔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阿不顿拉（求主喜悦他）传述的圣训，他说：我们在圣人（真主的称赞、祝福与安宁属于他）的时代采用体外排精，圣人（真主的称赞、祝福与安宁属于他）知道以后，并没有禁止我们。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布哈里圣训集（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250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），穆斯林圣训集（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160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这种做法是允许的，但是重度可憎的，穆斯林圣训集记载（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1442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），圣人（真主的称赞、祝福与安宁属于他）被问到关于体外排精的问题，他说：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这是隐蔽的杀害婴儿。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足以证明对此相当憎恶。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脑威说：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阿兹勒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就是男子在性交中将要射精时，离开女性的阴户，而在体外排精，在我们看来，在任何情况下这都是可憎的，无论女方同意与否，因为这有碍繁衍后代，因此，在圣训中称之为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隐蔽的杀害婴儿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，因为这样切断了繁育后代的途径，就如同杀害婴儿一样。我们的学者们认为，这不是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哈拉目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（绝对禁止的）。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综合相关的圣训记载，含禁止意义的圣训的真义是，其为应当放弃的可憎事物，而含允许意义的圣训的真义是指其不属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哈拉目</w:t>
      </w:r>
      <w:r w:rsidRPr="00A9111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穆斯林除必要时外，如妻子患病不宜怀孕等情况，最好放弃这种做法，又由于这样做使得房事的真正目的：即繁衍后代，难以实现，而且，还会使女方得不到完全的快感。</w:t>
      </w:r>
    </w:p>
    <w:p w:rsidR="00A9111B" w:rsidRPr="00A9111B" w:rsidRDefault="00A9111B" w:rsidP="00A9111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参考第（</w:t>
      </w:r>
      <w:hyperlink r:id="rId10" w:history="1">
        <w:r w:rsidRPr="00A9111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3767</w:t>
        </w:r>
      </w:hyperlink>
      <w:r w:rsidRPr="00A9111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2C" w:rsidRDefault="00CF432C" w:rsidP="00EB6455">
      <w:r>
        <w:separator/>
      </w:r>
    </w:p>
  </w:endnote>
  <w:endnote w:type="continuationSeparator" w:id="0">
    <w:p w:rsidR="00CF432C" w:rsidRDefault="00CF432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9178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F4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9178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C2C4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F432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2C" w:rsidRDefault="00CF432C" w:rsidP="00EB6455">
      <w:r>
        <w:separator/>
      </w:r>
    </w:p>
  </w:footnote>
  <w:footnote w:type="continuationSeparator" w:id="0">
    <w:p w:rsidR="00CF432C" w:rsidRDefault="00CF432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2C4B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111B"/>
    <w:rsid w:val="00B26145"/>
    <w:rsid w:val="00B83686"/>
    <w:rsid w:val="00BC1D95"/>
    <w:rsid w:val="00C11F71"/>
    <w:rsid w:val="00C5412A"/>
    <w:rsid w:val="00C91786"/>
    <w:rsid w:val="00CC3482"/>
    <w:rsid w:val="00CD6F06"/>
    <w:rsid w:val="00CD733C"/>
    <w:rsid w:val="00CF432C"/>
    <w:rsid w:val="00D02F08"/>
    <w:rsid w:val="00D04B88"/>
    <w:rsid w:val="00D15E7D"/>
    <w:rsid w:val="00D36432"/>
    <w:rsid w:val="00D860D2"/>
    <w:rsid w:val="00DB44B1"/>
    <w:rsid w:val="00DC4991"/>
    <w:rsid w:val="00DC54D7"/>
    <w:rsid w:val="00DE6CF4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11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9111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111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376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541</Characters>
  <Application>Microsoft Office Word</Application>
  <DocSecurity>0</DocSecurity>
  <Lines>41</Lines>
  <Paragraphs>27</Paragraphs>
  <ScaleCrop>false</ScaleCrop>
  <Manager/>
  <Company>islamhouse.com</Company>
  <LinksUpToDate>false</LinksUpToDate>
  <CharactersWithSpaces>968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是否允许体外排精及使用避孕套</dc:title>
  <dc:subject>是否允许体外排精及使用避孕套</dc:subject>
  <dc:creator>伊斯兰问答网站_x000d_</dc:creator>
  <cp:keywords>是否允许体外排精及使用避孕套</cp:keywords>
  <dc:description>是否允许体外排精及使用避孕套</dc:description>
  <cp:lastModifiedBy>Al-Hashemy</cp:lastModifiedBy>
  <cp:revision>3</cp:revision>
  <dcterms:created xsi:type="dcterms:W3CDTF">2015-01-04T09:06:00Z</dcterms:created>
  <dcterms:modified xsi:type="dcterms:W3CDTF">2015-01-10T14:15:00Z</dcterms:modified>
  <cp:category/>
</cp:coreProperties>
</file>