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55" w:rsidRDefault="00625495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proofErr w:type="spellStart"/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  <w:proofErr w:type="spellEnd"/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215E6A" w:rsidRDefault="00215E6A" w:rsidP="00274430">
      <w:pPr>
        <w:bidi w:val="0"/>
        <w:spacing w:beforeLines="5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215E6A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如果犯大罪的人的善行超过罪恶，他会受到惩罚吗？</w:t>
      </w:r>
    </w:p>
    <w:p w:rsidR="00EB6455" w:rsidRDefault="00EB6455" w:rsidP="00215E6A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215E6A" w:rsidRPr="00215E6A" w:rsidRDefault="00215E6A" w:rsidP="00215E6A">
      <w:pPr>
        <w:spacing w:after="60"/>
        <w:jc w:val="center"/>
        <w:outlineLvl w:val="3"/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</w:rPr>
      </w:pPr>
      <w:r w:rsidRPr="00215E6A"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  <w:rtl/>
        </w:rPr>
        <w:t xml:space="preserve">هل يعذب صاحب الكبيرة إذا رجحت حسناته على سيئاته 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E13355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E13355">
        <w:rPr>
          <w:rFonts w:ascii="MS UI Gothic" w:eastAsiaTheme="minorEastAsia" w:hAnsi="MS UI Gothic" w:cs="Times New Roman"/>
          <w:b/>
          <w:bCs/>
          <w:sz w:val="36"/>
          <w:lang w:eastAsia="zh-CN"/>
        </w:rPr>
        <w:t>5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E13355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afterLines="5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215E6A" w:rsidRPr="00215E6A" w:rsidRDefault="00215E6A" w:rsidP="00215E6A">
      <w:pPr>
        <w:pStyle w:val="Heading4"/>
        <w:shd w:val="clear" w:color="auto" w:fill="FFFFFF"/>
        <w:spacing w:before="0" w:beforeAutospacing="0" w:after="60" w:afterAutospacing="0"/>
        <w:jc w:val="center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215E6A">
        <w:rPr>
          <w:rFonts w:asciiTheme="minorEastAsia" w:eastAsiaTheme="minorEastAsia" w:hAnsiTheme="minorEastAsia" w:cs="SimSun" w:hint="eastAsia"/>
          <w:color w:val="000000" w:themeColor="text1"/>
          <w:sz w:val="36"/>
          <w:szCs w:val="36"/>
        </w:rPr>
        <w:t>如果犯大罪的人的善行超过罪恶，他会受到惩罚吗？</w:t>
      </w:r>
    </w:p>
    <w:p w:rsidR="00215E6A" w:rsidRPr="00215E6A" w:rsidRDefault="00215E6A" w:rsidP="00215E6A">
      <w:pPr>
        <w:shd w:val="clear" w:color="auto" w:fill="FFFFFF"/>
        <w:spacing w:before="240" w:after="240" w:line="240" w:lineRule="atLeast"/>
        <w:jc w:val="both"/>
        <w:rPr>
          <w:rFonts w:asciiTheme="minorEastAsia" w:eastAsiaTheme="minorEastAsia" w:hAnsiTheme="minorEastAsia" w:cs="Tahoma"/>
          <w:color w:val="000000" w:themeColor="text1"/>
          <w:sz w:val="36"/>
        </w:rPr>
      </w:pPr>
    </w:p>
    <w:p w:rsidR="00215E6A" w:rsidRDefault="00215E6A" w:rsidP="00215E6A">
      <w:pPr>
        <w:pStyle w:val="list-group-item-text"/>
        <w:shd w:val="clear" w:color="auto" w:fill="FFFFFF"/>
        <w:spacing w:before="0" w:beforeAutospacing="0" w:after="0" w:afterAutospacing="0" w:line="480" w:lineRule="auto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问：</w:t>
      </w:r>
      <w:r w:rsidRPr="00215E6A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我发现学者们在两件事情的说法自相矛盾，他们</w:t>
      </w:r>
    </w:p>
    <w:p w:rsidR="00215E6A" w:rsidRDefault="00215E6A" w:rsidP="00215E6A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szCs w:val="36"/>
        </w:rPr>
      </w:pPr>
      <w:r w:rsidRPr="00215E6A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说犯大罪的人在真主的意欲之下，如果真主意欲，</w:t>
      </w:r>
    </w:p>
    <w:p w:rsidR="00215E6A" w:rsidRDefault="00215E6A" w:rsidP="00215E6A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szCs w:val="36"/>
        </w:rPr>
      </w:pPr>
      <w:r w:rsidRPr="00215E6A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要惩罚他；如果真主意欲，会饶恕他。同时他们</w:t>
      </w:r>
    </w:p>
    <w:p w:rsidR="00215E6A" w:rsidRDefault="00215E6A" w:rsidP="00215E6A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szCs w:val="36"/>
        </w:rPr>
      </w:pPr>
      <w:r w:rsidRPr="00215E6A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还说：谁的善行超过罪恶，他属于乐园里的居民。</w:t>
      </w:r>
    </w:p>
    <w:p w:rsidR="00215E6A" w:rsidRDefault="00215E6A" w:rsidP="00215E6A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szCs w:val="36"/>
        </w:rPr>
      </w:pPr>
      <w:r w:rsidRPr="00215E6A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怎样解决这个难题？比如一个人犯了大罪，他的</w:t>
      </w:r>
    </w:p>
    <w:p w:rsidR="00215E6A" w:rsidRDefault="00215E6A" w:rsidP="00215E6A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szCs w:val="36"/>
        </w:rPr>
      </w:pPr>
      <w:r w:rsidRPr="00215E6A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善行超过了罪恶，我们可以说他是被许诺进入乐</w:t>
      </w:r>
    </w:p>
    <w:p w:rsidR="00215E6A" w:rsidRDefault="00215E6A" w:rsidP="00215E6A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szCs w:val="36"/>
        </w:rPr>
      </w:pPr>
      <w:r w:rsidRPr="00215E6A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园的人，他不会成为火狱的居民吗？或者我们说</w:t>
      </w:r>
    </w:p>
    <w:p w:rsidR="00215E6A" w:rsidRDefault="00215E6A" w:rsidP="00215E6A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szCs w:val="36"/>
        </w:rPr>
      </w:pPr>
      <w:r w:rsidRPr="00215E6A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他在真主的意欲之下，如果真主意欲，要惩罚他；</w:t>
      </w:r>
    </w:p>
    <w:p w:rsidR="00215E6A" w:rsidRPr="00215E6A" w:rsidRDefault="00215E6A" w:rsidP="00215E6A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</w:pPr>
      <w:r w:rsidRPr="00215E6A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如果真主意欲，会饶恕他。</w:t>
      </w:r>
    </w:p>
    <w:p w:rsidR="00215E6A" w:rsidRPr="00215E6A" w:rsidRDefault="00215E6A" w:rsidP="00215E6A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答：</w:t>
      </w:r>
      <w:r w:rsidRPr="00215E6A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一切赞颂，全归真主。</w:t>
      </w:r>
    </w:p>
    <w:p w:rsidR="00215E6A" w:rsidRPr="00215E6A" w:rsidRDefault="00215E6A" w:rsidP="00215E6A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215E6A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 </w:t>
      </w:r>
      <w:r>
        <w:rPr>
          <w:rFonts w:asciiTheme="minorEastAsia" w:eastAsiaTheme="minorEastAsia" w:hAnsiTheme="minorEastAsia" w:cs="Tahoma" w:hint="eastAsia"/>
          <w:color w:val="000000" w:themeColor="text1"/>
          <w:sz w:val="36"/>
          <w:szCs w:val="36"/>
        </w:rPr>
        <w:t xml:space="preserve">  </w:t>
      </w:r>
      <w:r w:rsidRPr="00215E6A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感谢真主，学者们对这个问题的各种主张之间没有矛盾，说明如下：</w:t>
      </w:r>
    </w:p>
    <w:p w:rsidR="00215E6A" w:rsidRPr="00215E6A" w:rsidRDefault="00215E6A" w:rsidP="00215E6A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lastRenderedPageBreak/>
        <w:t xml:space="preserve">    </w:t>
      </w:r>
      <w:r w:rsidRPr="00215E6A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第一：逊尼派一致认为，犯了大罪的人如果诚心实意的向真主忏悔，他在后世里遇见真主的时候，真主不会惩罚他，因为悔过自新的人，犹如没有罪恶的人一样；真主说：</w:t>
      </w:r>
      <w:r w:rsidRPr="00215E6A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215E6A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惟悔过而且信道并行善功者，真主将勾销其罪行，而录取其善功。真主是至赦的，是至慈的。</w:t>
      </w:r>
      <w:r w:rsidRPr="00215E6A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215E6A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（</w:t>
      </w:r>
      <w:r w:rsidRPr="00215E6A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25</w:t>
      </w:r>
      <w:r w:rsidRPr="00215E6A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：</w:t>
      </w:r>
      <w:r w:rsidRPr="00215E6A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70</w:t>
      </w:r>
      <w:r w:rsidRPr="00215E6A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）。</w:t>
      </w:r>
    </w:p>
    <w:p w:rsidR="00215E6A" w:rsidRPr="00215E6A" w:rsidRDefault="00215E6A" w:rsidP="00215E6A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215E6A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第二：犯了大罪的人如果没有向真主忏悔，他在后世里遇见真主的时候，他在真主的意欲之下，如果真主意欲，要惩罚他；如果真主意欲，会饶恕他。而</w:t>
      </w:r>
      <w:r w:rsidRPr="00215E6A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215E6A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海瓦利吉派</w:t>
      </w:r>
      <w:r w:rsidRPr="00215E6A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215E6A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（出走派）、</w:t>
      </w:r>
      <w:r w:rsidRPr="00215E6A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215E6A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穆尔太济赖派</w:t>
      </w:r>
      <w:r w:rsidRPr="00215E6A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215E6A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（分离派）和</w:t>
      </w:r>
      <w:r w:rsidRPr="00215E6A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215E6A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穆尔吉埃派</w:t>
      </w:r>
      <w:r w:rsidRPr="00215E6A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215E6A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（展缓派）的主张与之相反；海瓦利吉派</w:t>
      </w:r>
      <w:r w:rsidRPr="00215E6A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215E6A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（出走派）和</w:t>
      </w:r>
      <w:r w:rsidRPr="00215E6A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215E6A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穆尔太济赖派</w:t>
      </w:r>
      <w:r w:rsidRPr="00215E6A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215E6A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（分离派）主张必须要对犯大罪的人实践警告，甚至他们因此要永居火狱；</w:t>
      </w:r>
      <w:r w:rsidRPr="00215E6A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215E6A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穆尔吉埃派</w:t>
      </w:r>
      <w:r w:rsidRPr="00215E6A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215E6A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（展缓派）的极端分子主张凡是朝向天房做礼拜的穆斯林，都不会受到警告。真主说：</w:t>
      </w:r>
      <w:r w:rsidRPr="00215E6A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215E6A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真主必不赦宥以物配主的罪恶，他为</w:t>
      </w:r>
      <w:r w:rsidRPr="00215E6A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lastRenderedPageBreak/>
        <w:t>自己所意欲的人而赦宥比这差一等的罪过。谁以物配主，谁已犯大罪了。</w:t>
      </w:r>
      <w:r w:rsidRPr="00215E6A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215E6A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（</w:t>
      </w:r>
      <w:r w:rsidRPr="00215E6A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4</w:t>
      </w:r>
      <w:r w:rsidRPr="00215E6A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：</w:t>
      </w:r>
      <w:r w:rsidRPr="00215E6A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48</w:t>
      </w:r>
      <w:r w:rsidRPr="00215E6A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）</w:t>
      </w:r>
    </w:p>
    <w:p w:rsidR="00215E6A" w:rsidRPr="00215E6A" w:rsidRDefault="00215E6A" w:rsidP="00215E6A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215E6A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伊本</w:t>
      </w:r>
      <w:r w:rsidRPr="00215E6A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·</w:t>
      </w:r>
      <w:r w:rsidRPr="00215E6A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哲利勒</w:t>
      </w:r>
      <w:r w:rsidRPr="00215E6A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·</w:t>
      </w:r>
      <w:r w:rsidRPr="00215E6A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泰百利（愿主怜悯之）说：</w:t>
      </w:r>
      <w:r w:rsidRPr="00215E6A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215E6A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这节经文说明只要不是以物配主的大罪，犯大罪的人在真主的意欲之下，如果真主意欲，要惩罚他；如果真主意欲，会饶恕他。</w:t>
      </w:r>
      <w:r w:rsidRPr="00215E6A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215E6A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《泰百利经注》</w:t>
      </w:r>
      <w:r w:rsidRPr="00215E6A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(8 / 450)</w:t>
      </w:r>
      <w:r w:rsidRPr="00215E6A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。</w:t>
      </w:r>
    </w:p>
    <w:p w:rsidR="00215E6A" w:rsidRPr="00215E6A" w:rsidRDefault="00215E6A" w:rsidP="00215E6A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215E6A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第三：犯了罪恶或者大罪的认主独一的信士，如果他的善行超过罪恶，他会进入乐园，不会受到惩罚；如果他的罪恶超过善行，他会根据罪恶的程度进入火狱，最终会回到乐园。真主说：</w:t>
      </w:r>
      <w:r w:rsidRPr="00215E6A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215E6A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在那日，称（功过薄）是真实的。善功的分量较重者才是成功的。善功的分量较轻的人，将因生前不信我的迹象而亏折自身。</w:t>
      </w:r>
      <w:r w:rsidRPr="00215E6A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215E6A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（</w:t>
      </w:r>
      <w:r w:rsidRPr="00215E6A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7</w:t>
      </w:r>
      <w:r w:rsidRPr="00215E6A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：</w:t>
      </w:r>
      <w:r w:rsidRPr="00215E6A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 xml:space="preserve"> 8—9</w:t>
      </w:r>
      <w:r w:rsidRPr="00215E6A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）；真主说：</w:t>
      </w:r>
      <w:r w:rsidRPr="00215E6A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215E6A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至于善功的份量较重者，将在满意的生活中；至于善功的份量较轻者，他的归宿是深坑。</w:t>
      </w:r>
      <w:r w:rsidRPr="00215E6A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215E6A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（</w:t>
      </w:r>
      <w:r w:rsidRPr="00215E6A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101</w:t>
      </w:r>
      <w:r w:rsidRPr="00215E6A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：</w:t>
      </w:r>
      <w:r w:rsidRPr="00215E6A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6—9</w:t>
      </w:r>
      <w:r w:rsidRPr="00215E6A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）</w:t>
      </w:r>
    </w:p>
    <w:p w:rsidR="00215E6A" w:rsidRPr="00215E6A" w:rsidRDefault="00215E6A" w:rsidP="00215E6A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lastRenderedPageBreak/>
        <w:t xml:space="preserve">    </w:t>
      </w:r>
      <w:r w:rsidRPr="00215E6A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伊斯兰的谢赫伊本</w:t>
      </w:r>
      <w:r w:rsidRPr="00215E6A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·</w:t>
      </w:r>
      <w:r w:rsidRPr="00215E6A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泰米业（愿主怜悯之）：</w:t>
      </w:r>
      <w:r w:rsidRPr="00215E6A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215E6A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至于圣门弟子和逊尼派，他们都认为犯大罪的人将会从火狱里出来，获得说情，一件大罪不会使所有的善行全部无效，大多数逊尼派主张大罪能够使与之相等的善行无效，只有叛教（库夫尔）使所有的善行付之东流，只有诚心实意的忏悔才能使所有的罪恶烟消云散，犯了大罪的人如果带着自己所有的善行博取真主的喜悦，真主会赐予他报酬，哪怕他所犯的大罪应该受到惩罚也罢。</w:t>
      </w:r>
      <w:r w:rsidRPr="00215E6A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215E6A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《谢赫伊本</w:t>
      </w:r>
      <w:r w:rsidRPr="00215E6A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·</w:t>
      </w:r>
      <w:r w:rsidRPr="00215E6A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泰米业法特瓦全集》（</w:t>
      </w:r>
      <w:r w:rsidRPr="00215E6A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10 / 321 - 322</w:t>
      </w:r>
      <w:r w:rsidRPr="00215E6A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）。</w:t>
      </w:r>
    </w:p>
    <w:p w:rsidR="00215E6A" w:rsidRPr="00215E6A" w:rsidRDefault="00215E6A" w:rsidP="00215E6A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215E6A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伊本</w:t>
      </w:r>
      <w:r w:rsidRPr="00215E6A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·</w:t>
      </w:r>
      <w:r w:rsidRPr="00215E6A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甘伊姆（愿主怜悯之）说：</w:t>
      </w:r>
      <w:r w:rsidRPr="00215E6A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215E6A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有些人的善行和罪恶混合在一起，他们履行善功，也犯过大罪，他们遇见真主的时候仍然怙恶不悛，没有忏悔，但他们的善行超过罪恶，如果称量他们的工作，善行的秤盘更重，这些人也是成功的人和获胜的人；真主说：</w:t>
      </w:r>
      <w:r w:rsidRPr="00215E6A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215E6A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在那日，称（功过薄）是真实的。善功的分量较重</w:t>
      </w:r>
      <w:r w:rsidRPr="00215E6A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lastRenderedPageBreak/>
        <w:t>者才是成功的。善功的分量较轻的人，将因生前不信我的迹象而亏折自身。</w:t>
      </w:r>
      <w:r w:rsidRPr="00215E6A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215E6A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（</w:t>
      </w:r>
      <w:r w:rsidRPr="00215E6A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7:8—9</w:t>
      </w:r>
      <w:r w:rsidRPr="00215E6A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）</w:t>
      </w:r>
    </w:p>
    <w:p w:rsidR="00215E6A" w:rsidRPr="00215E6A" w:rsidRDefault="00215E6A" w:rsidP="00215E6A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215E6A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胡宰法和阿卜杜拉</w:t>
      </w:r>
      <w:r w:rsidRPr="00215E6A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·</w:t>
      </w:r>
      <w:r w:rsidRPr="00215E6A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本</w:t>
      </w:r>
      <w:r w:rsidRPr="00215E6A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·</w:t>
      </w:r>
      <w:r w:rsidRPr="00215E6A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麦斯欧德等圣门弟子说：</w:t>
      </w:r>
      <w:r w:rsidRPr="00215E6A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215E6A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人们在复生日集合的时候分为三类：善行比罪恶多一件的人进入乐园；罪恶比善行多一件的人进入火狱；善行和罪恶一模一样的人就是</w:t>
      </w:r>
      <w:r w:rsidRPr="00215E6A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215E6A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高处</w:t>
      </w:r>
      <w:r w:rsidRPr="00215E6A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215E6A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（艾尔拉夫）的居民</w:t>
      </w:r>
    </w:p>
    <w:p w:rsidR="00215E6A" w:rsidRPr="00215E6A" w:rsidRDefault="00215E6A" w:rsidP="00215E6A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215E6A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用善行抵偿和偿还被压迫者的权利之后称量工作，然后把剩余的善行和罪恶一起称量。</w:t>
      </w:r>
      <w:r w:rsidRPr="00215E6A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215E6A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《两次迁移的道路》</w:t>
      </w:r>
      <w:r w:rsidRPr="00215E6A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(1 / 562)</w:t>
      </w:r>
      <w:r w:rsidRPr="00215E6A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。</w:t>
      </w:r>
    </w:p>
    <w:p w:rsidR="00215E6A" w:rsidRPr="00215E6A" w:rsidRDefault="00215E6A" w:rsidP="00215E6A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215E6A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第四：这并不意味着罪恶比善行多一件的人进入火狱，而且应该遭受惩罚，实际上他在真主的意欲之下，正如逊尼派对犯大罪的人的原则：如果真主意欲，要惩罚他；如果真主意欲，会饶恕他。</w:t>
      </w:r>
    </w:p>
    <w:p w:rsidR="00215E6A" w:rsidRPr="00215E6A" w:rsidRDefault="00215E6A" w:rsidP="00215E6A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lastRenderedPageBreak/>
        <w:t xml:space="preserve">    </w:t>
      </w:r>
      <w:r w:rsidRPr="00215E6A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谢赫哈菲兹</w:t>
      </w:r>
      <w:r w:rsidRPr="00215E6A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·</w:t>
      </w:r>
      <w:r w:rsidRPr="00215E6A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哈克米（愿主怜悯之）说：</w:t>
      </w:r>
      <w:r w:rsidRPr="00215E6A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215E6A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问：真主的使者（愿主福安之）说：</w:t>
      </w:r>
      <w:r w:rsidRPr="00215E6A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215E6A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他（犯罪的人）由真主处置：如果真主意欲，会饶恕他；如果真主意欲，要惩罚他</w:t>
      </w:r>
      <w:r w:rsidRPr="00215E6A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215E6A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。（布哈里和穆斯林共同辑录）；如前所述：罪恶超过善行的人进入火狱；怎样综合理解这两句话？</w:t>
      </w:r>
    </w:p>
    <w:p w:rsidR="00215E6A" w:rsidRPr="00215E6A" w:rsidRDefault="00215E6A" w:rsidP="00215E6A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 </w:t>
      </w:r>
      <w:r w:rsidRPr="00215E6A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回答：两者之间互不矛盾，如果真主意欲饶恕一个人，对他进行容易的清算，先知（愿主福安之）用</w:t>
      </w:r>
      <w:r w:rsidRPr="00215E6A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215E6A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展示工作</w:t>
      </w:r>
      <w:r w:rsidRPr="00215E6A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215E6A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解释了这种事情，他说：</w:t>
      </w:r>
      <w:r w:rsidRPr="00215E6A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215E6A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信士一直向真主靠近，直到真主用他的帷幔遮在他的身上，让那个信士承认了自己的罪。然后，真主问他道：</w:t>
      </w:r>
      <w:r w:rsidRPr="00215E6A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‘</w:t>
      </w:r>
      <w:r w:rsidRPr="00215E6A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你可认得此罪？</w:t>
      </w:r>
      <w:r w:rsidRPr="00215E6A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’</w:t>
      </w:r>
      <w:r w:rsidRPr="00215E6A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那位信士说：</w:t>
      </w:r>
      <w:r w:rsidRPr="00215E6A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‘</w:t>
      </w:r>
      <w:r w:rsidRPr="00215E6A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我的养育之主啊！我认得。</w:t>
      </w:r>
      <w:r w:rsidRPr="00215E6A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’</w:t>
      </w:r>
      <w:r w:rsidRPr="00215E6A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他如此地承认了两次。主说：</w:t>
      </w:r>
      <w:r w:rsidRPr="00215E6A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‘</w:t>
      </w:r>
      <w:r w:rsidRPr="00215E6A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在现世上，我为你遮盖了罪恶；至于现在，我饶恕了你的罪恶。</w:t>
      </w:r>
      <w:r w:rsidRPr="00215E6A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’</w:t>
      </w:r>
      <w:r w:rsidRPr="00215E6A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（布哈里和穆斯林共同辑录）</w:t>
      </w:r>
    </w:p>
    <w:p w:rsidR="00215E6A" w:rsidRPr="00215E6A" w:rsidRDefault="00215E6A" w:rsidP="00215E6A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lastRenderedPageBreak/>
        <w:t xml:space="preserve">    </w:t>
      </w:r>
      <w:r w:rsidRPr="00215E6A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至于因为罪恶而进入火狱的人，他们属于争论清算的人，真主的使者（愿主福安之）说：</w:t>
      </w:r>
      <w:r w:rsidRPr="00215E6A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215E6A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谁争论清算，他会受到惩罚。</w:t>
      </w:r>
      <w:r w:rsidRPr="00215E6A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215E6A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（布哈里和穆斯林共同辑录）</w:t>
      </w:r>
      <w:r w:rsidRPr="00215E6A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215E6A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《传播圣训的旗帜》（</w:t>
      </w:r>
      <w:r w:rsidRPr="00215E6A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171</w:t>
      </w:r>
      <w:r w:rsidRPr="00215E6A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页）。</w:t>
      </w:r>
    </w:p>
    <w:p w:rsidR="00215E6A" w:rsidRPr="00215E6A" w:rsidRDefault="00215E6A" w:rsidP="00215E6A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215E6A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欲了解更多内容，敬请参阅（</w:t>
      </w:r>
      <w:hyperlink r:id="rId10" w:history="1">
        <w:r w:rsidRPr="00215E6A">
          <w:rPr>
            <w:rStyle w:val="Hyperlink"/>
            <w:rFonts w:asciiTheme="minorEastAsia" w:eastAsiaTheme="minorEastAsia" w:hAnsiTheme="minorEastAsia" w:cs="Tahoma"/>
            <w:color w:val="000000" w:themeColor="text1"/>
            <w:sz w:val="36"/>
            <w:szCs w:val="36"/>
          </w:rPr>
          <w:t>98964</w:t>
        </w:r>
      </w:hyperlink>
      <w:r w:rsidRPr="00215E6A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）、（</w:t>
      </w:r>
      <w:hyperlink r:id="rId11" w:history="1">
        <w:r w:rsidRPr="00215E6A">
          <w:rPr>
            <w:rStyle w:val="Hyperlink"/>
            <w:rFonts w:asciiTheme="minorEastAsia" w:eastAsiaTheme="minorEastAsia" w:hAnsiTheme="minorEastAsia" w:cs="Tahoma"/>
            <w:color w:val="000000" w:themeColor="text1"/>
            <w:sz w:val="36"/>
            <w:szCs w:val="36"/>
          </w:rPr>
          <w:t>107241</w:t>
        </w:r>
      </w:hyperlink>
      <w:r w:rsidRPr="00215E6A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）和（</w:t>
      </w:r>
      <w:hyperlink r:id="rId12" w:history="1">
        <w:r w:rsidRPr="00215E6A">
          <w:rPr>
            <w:rStyle w:val="Hyperlink"/>
            <w:rFonts w:asciiTheme="minorEastAsia" w:eastAsiaTheme="minorEastAsia" w:hAnsiTheme="minorEastAsia" w:cs="Tahoma"/>
            <w:color w:val="000000" w:themeColor="text1"/>
            <w:sz w:val="36"/>
            <w:szCs w:val="36"/>
          </w:rPr>
          <w:t>112113</w:t>
        </w:r>
      </w:hyperlink>
      <w:r w:rsidRPr="00215E6A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）号问题的回答。</w:t>
      </w:r>
    </w:p>
    <w:p w:rsidR="00215E6A" w:rsidRPr="00215E6A" w:rsidRDefault="00215E6A" w:rsidP="00215E6A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215E6A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真主至知！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3"/>
      <w:footerReference w:type="default" r:id="rId14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B87" w:rsidRDefault="00AC1B87" w:rsidP="00EB6455">
      <w:r>
        <w:separator/>
      </w:r>
    </w:p>
  </w:endnote>
  <w:endnote w:type="continuationSeparator" w:id="0">
    <w:p w:rsidR="00AC1B87" w:rsidRDefault="00AC1B87" w:rsidP="00EB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5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31" w:rsidRDefault="00625495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AC1B8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B3" w:rsidRDefault="00625495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E13355">
      <w:rPr>
        <w:noProof/>
        <w:sz w:val="28"/>
        <w:szCs w:val="28"/>
      </w:rPr>
      <w:t>8</w:t>
    </w:r>
    <w:r w:rsidRPr="00923817">
      <w:rPr>
        <w:sz w:val="28"/>
        <w:szCs w:val="28"/>
      </w:rPr>
      <w:fldChar w:fldCharType="end"/>
    </w:r>
  </w:p>
  <w:p w:rsidR="005C5331" w:rsidRPr="00156EB3" w:rsidRDefault="00AC1B87" w:rsidP="00156EB3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B87" w:rsidRDefault="00AC1B87" w:rsidP="00EB6455">
      <w:r>
        <w:separator/>
      </w:r>
    </w:p>
  </w:footnote>
  <w:footnote w:type="continuationSeparator" w:id="0">
    <w:p w:rsidR="00AC1B87" w:rsidRDefault="00AC1B87" w:rsidP="00EB64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455"/>
    <w:rsid w:val="00035EBD"/>
    <w:rsid w:val="0007618C"/>
    <w:rsid w:val="000777D6"/>
    <w:rsid w:val="00122361"/>
    <w:rsid w:val="00157B23"/>
    <w:rsid w:val="001743FA"/>
    <w:rsid w:val="0019347C"/>
    <w:rsid w:val="001B6333"/>
    <w:rsid w:val="00215E6A"/>
    <w:rsid w:val="002350D4"/>
    <w:rsid w:val="00274430"/>
    <w:rsid w:val="002804F9"/>
    <w:rsid w:val="002A30C7"/>
    <w:rsid w:val="0031151D"/>
    <w:rsid w:val="00352158"/>
    <w:rsid w:val="003B55D3"/>
    <w:rsid w:val="00442CC2"/>
    <w:rsid w:val="00462A59"/>
    <w:rsid w:val="00482F6F"/>
    <w:rsid w:val="004E1EA8"/>
    <w:rsid w:val="005056E6"/>
    <w:rsid w:val="005C6719"/>
    <w:rsid w:val="005F220A"/>
    <w:rsid w:val="0061619F"/>
    <w:rsid w:val="00616C3E"/>
    <w:rsid w:val="00625495"/>
    <w:rsid w:val="006412A0"/>
    <w:rsid w:val="00657854"/>
    <w:rsid w:val="0066117B"/>
    <w:rsid w:val="006D5DD9"/>
    <w:rsid w:val="007B587A"/>
    <w:rsid w:val="00844DDF"/>
    <w:rsid w:val="00856385"/>
    <w:rsid w:val="008B2286"/>
    <w:rsid w:val="008C1908"/>
    <w:rsid w:val="0093085A"/>
    <w:rsid w:val="00935B96"/>
    <w:rsid w:val="00945734"/>
    <w:rsid w:val="00962983"/>
    <w:rsid w:val="009750B0"/>
    <w:rsid w:val="009D344A"/>
    <w:rsid w:val="00A11098"/>
    <w:rsid w:val="00A2494F"/>
    <w:rsid w:val="00A3521C"/>
    <w:rsid w:val="00A60587"/>
    <w:rsid w:val="00AC1B87"/>
    <w:rsid w:val="00B83686"/>
    <w:rsid w:val="00BC1D95"/>
    <w:rsid w:val="00C11F71"/>
    <w:rsid w:val="00C5412A"/>
    <w:rsid w:val="00CC3482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F5A57"/>
    <w:rsid w:val="00E13355"/>
    <w:rsid w:val="00E13455"/>
    <w:rsid w:val="00EA406C"/>
    <w:rsid w:val="00EB6455"/>
    <w:rsid w:val="00EE484A"/>
    <w:rsid w:val="00FB0221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15E6A"/>
    <w:rPr>
      <w:color w:val="0000FF" w:themeColor="hyperlink"/>
      <w:u w:val="single"/>
    </w:rPr>
  </w:style>
  <w:style w:type="paragraph" w:customStyle="1" w:styleId="list-group-item-text">
    <w:name w:val="list-group-item-text"/>
    <w:basedOn w:val="Normal"/>
    <w:rsid w:val="00215E6A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215E6A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55"/>
    <w:pPr>
      <w:bidi/>
    </w:pPr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Char">
    <w:name w:val="脚注文本 Char"/>
    <w:basedOn w:val="a0"/>
    <w:link w:val="a3"/>
    <w:semiHidden/>
    <w:rsid w:val="00EB6455"/>
    <w:rPr>
      <w:rFonts w:ascii="Times New Roman" w:eastAsia="宋体" w:hAnsi="Times New Roman" w:cs="Times New Roman"/>
      <w:kern w:val="0"/>
      <w:sz w:val="20"/>
      <w:szCs w:val="20"/>
      <w:lang w:eastAsia="ar-SA"/>
    </w:rPr>
  </w:style>
  <w:style w:type="character" w:styleId="a4">
    <w:name w:val="footnote reference"/>
    <w:basedOn w:val="a0"/>
    <w:semiHidden/>
    <w:rsid w:val="00EB6455"/>
    <w:rPr>
      <w:rFonts w:ascii="Times New Roman" w:hAnsi="Times New Roman" w:cs="Times New Roman"/>
      <w:vertAlign w:val="superscript"/>
    </w:rPr>
  </w:style>
  <w:style w:type="paragraph" w:styleId="a5">
    <w:name w:val="footer"/>
    <w:aliases w:val="Footer"/>
    <w:basedOn w:val="a"/>
    <w:link w:val="Char0"/>
    <w:rsid w:val="00EB6455"/>
    <w:pPr>
      <w:tabs>
        <w:tab w:val="center" w:pos="4153"/>
        <w:tab w:val="right" w:pos="8306"/>
      </w:tabs>
    </w:pPr>
  </w:style>
  <w:style w:type="character" w:customStyle="1" w:styleId="Char0">
    <w:name w:val="页脚 Char"/>
    <w:aliases w:val="Footer Char"/>
    <w:basedOn w:val="a0"/>
    <w:link w:val="a5"/>
    <w:rsid w:val="00EB6455"/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styleId="a6">
    <w:name w:val="page number"/>
    <w:basedOn w:val="a0"/>
    <w:rsid w:val="00EB6455"/>
  </w:style>
  <w:style w:type="paragraph" w:styleId="a7">
    <w:name w:val="Balloon Text"/>
    <w:basedOn w:val="a"/>
    <w:link w:val="Char1"/>
    <w:uiPriority w:val="99"/>
    <w:semiHidden/>
    <w:unhideWhenUsed/>
    <w:rsid w:val="00EB645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B6455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  <w:style w:type="paragraph" w:styleId="a8">
    <w:name w:val="header"/>
    <w:basedOn w:val="a"/>
    <w:link w:val="Char2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DF5A57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yperlink" Target="http://islamqa.info/zh/112113" TargetMode="Externa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hyperlink" Target="http://islamqa.info/zh/107241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islamqa.info/zh/98964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1223</Words>
  <Characters>1321</Characters>
  <Application>Microsoft Office Word</Application>
  <DocSecurity>0</DocSecurity>
  <Lines>77</Lines>
  <Paragraphs>43</Paragraphs>
  <ScaleCrop>false</ScaleCrop>
  <Manager/>
  <Company>islamhouse.com</Company>
  <LinksUpToDate>false</LinksUpToDate>
  <CharactersWithSpaces>2501</CharactersWithSpaces>
  <SharedDoc>false</SharedDoc>
  <HyperlinkBase>www.islamhouse.com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如果犯大罪的人的善行超过罪恶，他会受到惩罚吗</dc:title>
  <dc:subject>如果犯大罪的人的善行超过罪恶，他会受到惩罚吗</dc:subject>
  <dc:creator>伊斯兰问答网站_x000d_</dc:creator>
  <cp:keywords>如果犯大罪的人的善行超过罪恶，他会受到惩罚吗</cp:keywords>
  <dc:description>如果犯大罪的人的善行超过罪恶，他会受到惩罚吗</dc:description>
  <cp:lastModifiedBy>Al-Hashemy</cp:lastModifiedBy>
  <cp:revision>3</cp:revision>
  <dcterms:created xsi:type="dcterms:W3CDTF">2015-01-03T02:17:00Z</dcterms:created>
  <dcterms:modified xsi:type="dcterms:W3CDTF">2015-01-10T12:46:00Z</dcterms:modified>
  <cp:category/>
</cp:coreProperties>
</file>