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284148"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5C36CD" w:rsidRDefault="005C36CD" w:rsidP="00274430">
      <w:pPr>
        <w:bidi w:val="0"/>
        <w:spacing w:beforeLines="50" w:before="120"/>
        <w:jc w:val="center"/>
        <w:rPr>
          <w:rFonts w:ascii="SimSun" w:eastAsiaTheme="minorEastAsia" w:hAnsi="SimSun" w:cs="SimSun"/>
          <w:b/>
          <w:bCs/>
          <w:color w:val="1F497D" w:themeColor="text2"/>
          <w:sz w:val="48"/>
          <w:szCs w:val="48"/>
          <w:lang w:eastAsia="zh-CN"/>
        </w:rPr>
      </w:pPr>
      <w:r w:rsidRPr="005C36CD">
        <w:rPr>
          <w:rFonts w:ascii="SimSun" w:hAnsi="SimSun" w:cs="SimSun" w:hint="eastAsia"/>
          <w:b/>
          <w:bCs/>
          <w:color w:val="1F497D" w:themeColor="text2"/>
          <w:sz w:val="48"/>
          <w:szCs w:val="48"/>
          <w:lang w:eastAsia="zh-CN"/>
        </w:rPr>
        <w:t>抚养孤儿的优越性，以及孤女长大成人之后认作义女，他俩之间的关系</w:t>
      </w:r>
    </w:p>
    <w:p w:rsidR="00EB6455" w:rsidRDefault="00EB6455" w:rsidP="005C36CD">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C36CD" w:rsidRPr="005C36CD" w:rsidRDefault="005C36CD" w:rsidP="005C36CD">
      <w:pPr>
        <w:pStyle w:val="Heading4"/>
        <w:shd w:val="clear" w:color="auto" w:fill="FFFFFF"/>
        <w:spacing w:before="0" w:beforeAutospacing="0" w:after="75" w:afterAutospacing="0"/>
        <w:jc w:val="center"/>
        <w:rPr>
          <w:rFonts w:ascii="inherit" w:hAnsi="inherit"/>
          <w:color w:val="1F497D" w:themeColor="text2"/>
          <w:sz w:val="48"/>
          <w:szCs w:val="48"/>
        </w:rPr>
      </w:pPr>
      <w:r w:rsidRPr="005C36CD">
        <w:rPr>
          <w:rFonts w:ascii="inherit" w:hAnsi="inherit"/>
          <w:color w:val="1F497D" w:themeColor="text2"/>
          <w:sz w:val="48"/>
          <w:szCs w:val="48"/>
          <w:rtl/>
        </w:rPr>
        <w:t>ما جاء في فضل كفالة اليتيم ، وعلاقة اليتيمة بمن تبناها بعد بلوغها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Pr="005C36CD" w:rsidRDefault="00EB6455" w:rsidP="00EB6455">
      <w:pPr>
        <w:bidi w:val="0"/>
        <w:spacing w:before="150" w:after="150" w:line="284" w:lineRule="atLeast"/>
        <w:jc w:val="center"/>
        <w:rPr>
          <w:rFonts w:ascii="Arial" w:eastAsiaTheme="minorEastAsia" w:hAnsi="Arial" w:cs="Arial"/>
          <w:b/>
          <w:bCs/>
          <w:sz w:val="28"/>
          <w:szCs w:val="28"/>
          <w:lang w:eastAsia="zh-CN"/>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5C36CD">
      <w:pPr>
        <w:bidi w:val="0"/>
        <w:spacing w:line="240" w:lineRule="exact"/>
        <w:rPr>
          <w:rFonts w:ascii="mylotus" w:eastAsiaTheme="minorEastAsia" w:hAnsi="mylotus" w:cs="mylotus"/>
          <w:b/>
          <w:bCs/>
          <w:sz w:val="28"/>
          <w:szCs w:val="28"/>
          <w:lang w:eastAsia="zh-CN"/>
        </w:rPr>
      </w:pPr>
    </w:p>
    <w:p w:rsidR="005C36CD" w:rsidRPr="005C36CD" w:rsidRDefault="005C36CD" w:rsidP="005C36CD">
      <w:pPr>
        <w:bidi w:val="0"/>
        <w:spacing w:line="240" w:lineRule="exact"/>
        <w:rPr>
          <w:rFonts w:ascii="STXingkai" w:eastAsiaTheme="minorEastAsia" w:hAnsi="TR Bahamas Light"/>
          <w:b/>
          <w:bCs/>
          <w:color w:val="800000"/>
          <w:sz w:val="48"/>
          <w:szCs w:val="48"/>
          <w:lang w:val="tr-TR" w:eastAsia="zh-CN"/>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93461">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493461">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93461">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Default="00A60587" w:rsidP="008C1908">
      <w:pPr>
        <w:bidi w:val="0"/>
        <w:spacing w:beforeLines="50" w:before="120" w:afterLines="50" w:after="120" w:line="460" w:lineRule="exact"/>
        <w:jc w:val="center"/>
        <w:rPr>
          <w:rFonts w:ascii="STXingkai" w:eastAsiaTheme="minorEastAsia" w:hAnsi="Calibri" w:cs="KFGQPC Uthman Taha Naskh"/>
          <w:b/>
          <w:bCs/>
          <w:color w:val="333399"/>
          <w:sz w:val="32"/>
          <w:szCs w:val="32"/>
          <w:lang w:eastAsia="zh-CN"/>
        </w:rPr>
      </w:pPr>
    </w:p>
    <w:p w:rsidR="005C36CD" w:rsidRPr="005C36CD" w:rsidRDefault="005C36CD" w:rsidP="005C36CD">
      <w:pPr>
        <w:bidi w:val="0"/>
        <w:spacing w:beforeLines="50" w:before="120" w:afterLines="50" w:after="120" w:line="460" w:lineRule="exact"/>
        <w:jc w:val="center"/>
        <w:rPr>
          <w:rFonts w:ascii="STXingkai" w:eastAsiaTheme="minorEastAsia" w:hAnsi="Calibri" w:cs="KFGQPC Uthman Taha Naskh"/>
          <w:b/>
          <w:bCs/>
          <w:color w:val="333399"/>
          <w:sz w:val="32"/>
          <w:szCs w:val="32"/>
          <w:lang w:eastAsia="zh-CN"/>
        </w:rPr>
      </w:pPr>
    </w:p>
    <w:p w:rsidR="005C36CD" w:rsidRPr="005C36CD" w:rsidRDefault="005C36CD" w:rsidP="005C36CD">
      <w:pPr>
        <w:pStyle w:val="Heading4"/>
        <w:shd w:val="clear" w:color="auto" w:fill="FFFFFF"/>
        <w:spacing w:before="0" w:beforeAutospacing="0" w:after="75" w:afterAutospacing="0"/>
        <w:jc w:val="center"/>
        <w:rPr>
          <w:rFonts w:asciiTheme="minorEastAsia" w:eastAsiaTheme="minorEastAsia" w:hAnsiTheme="minorEastAsia" w:cs="Tahoma"/>
          <w:sz w:val="36"/>
          <w:szCs w:val="36"/>
        </w:rPr>
      </w:pPr>
      <w:r w:rsidRPr="005C36CD">
        <w:rPr>
          <w:rFonts w:asciiTheme="minorEastAsia" w:eastAsiaTheme="minorEastAsia" w:hAnsiTheme="minorEastAsia" w:cs="SimSun" w:hint="eastAsia"/>
          <w:sz w:val="36"/>
          <w:szCs w:val="36"/>
        </w:rPr>
        <w:t>抚养孤儿的优越性，以及孤女长大成人之后认作义女，他俩之间的关系</w:t>
      </w:r>
    </w:p>
    <w:p w:rsidR="005C36CD" w:rsidRPr="005C36CD" w:rsidRDefault="005C36CD" w:rsidP="005C36CD">
      <w:pPr>
        <w:shd w:val="clear" w:color="auto" w:fill="FFFFFF"/>
        <w:spacing w:before="300" w:after="300" w:line="300" w:lineRule="atLeast"/>
        <w:rPr>
          <w:rFonts w:asciiTheme="minorEastAsia" w:eastAsiaTheme="minorEastAsia" w:hAnsiTheme="minorEastAsia" w:cs="Tahoma"/>
          <w:color w:val="auto"/>
          <w:sz w:val="36"/>
        </w:rPr>
      </w:pPr>
    </w:p>
    <w:p w:rsidR="005C36CD" w:rsidRDefault="005C36CD" w:rsidP="005C36CD">
      <w:pPr>
        <w:pStyle w:val="list-group-item-text"/>
        <w:shd w:val="clear" w:color="auto" w:fill="FFFFFF"/>
        <w:spacing w:before="0" w:beforeAutospacing="0" w:after="0" w:afterAutospacing="0" w:line="480" w:lineRule="auto"/>
        <w:jc w:val="both"/>
        <w:rPr>
          <w:rFonts w:asciiTheme="minorEastAsia" w:eastAsiaTheme="minorEastAsia" w:hAnsiTheme="minorEastAsia" w:cs="Tahoma"/>
          <w:color w:val="FF0000"/>
          <w:sz w:val="36"/>
          <w:szCs w:val="36"/>
        </w:rPr>
      </w:pPr>
      <w:r>
        <w:rPr>
          <w:rFonts w:asciiTheme="minorEastAsia" w:eastAsiaTheme="minorEastAsia" w:hAnsiTheme="minorEastAsia" w:cs="Tahoma" w:hint="eastAsia"/>
          <w:color w:val="FF0000"/>
          <w:sz w:val="36"/>
          <w:szCs w:val="36"/>
        </w:rPr>
        <w:t>问：</w:t>
      </w:r>
      <w:r w:rsidRPr="005C36CD">
        <w:rPr>
          <w:rFonts w:asciiTheme="minorEastAsia" w:eastAsiaTheme="minorEastAsia" w:hAnsiTheme="minorEastAsia" w:cs="Tahoma"/>
          <w:color w:val="FF0000"/>
          <w:sz w:val="36"/>
          <w:szCs w:val="36"/>
        </w:rPr>
        <w:t>如果一个男人把与他没有任何关系的一个孤女认</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作义女，这个女孩长大成人之后必须要在这个男</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人的面前戴面纱吗？关于认义女的问题，他必须</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要时刻牢记哪些事情？他还没有把自己的姓氏赋</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予这个女儿。他想要的只是为了获得先知（愿主</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福安之）在圣训中许诺的报酬，先知（愿主福安</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之）交叉着他的手指说：“谁如果抚养了两个女</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孩，一直到她俩长大成人和出嫁，那么在复活日</w:t>
      </w:r>
    </w:p>
    <w:p w:rsid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我与他犹如这两个手指一般临近。”《穆斯林圣</w:t>
      </w:r>
    </w:p>
    <w:p w:rsidR="005C36CD" w:rsidRPr="005C36CD" w:rsidRDefault="005C36CD" w:rsidP="005C36CD">
      <w:pPr>
        <w:pStyle w:val="list-group-item-text"/>
        <w:shd w:val="clear" w:color="auto" w:fill="FFFFFF"/>
        <w:spacing w:before="0" w:beforeAutospacing="0" w:after="0" w:afterAutospacing="0" w:line="480" w:lineRule="auto"/>
        <w:ind w:firstLineChars="200" w:firstLine="720"/>
        <w:jc w:val="both"/>
        <w:rPr>
          <w:rFonts w:asciiTheme="minorEastAsia" w:eastAsiaTheme="minorEastAsia" w:hAnsiTheme="minorEastAsia" w:cs="Tahoma"/>
          <w:color w:val="FF0000"/>
          <w:sz w:val="36"/>
          <w:szCs w:val="36"/>
        </w:rPr>
      </w:pPr>
      <w:r w:rsidRPr="005C36CD">
        <w:rPr>
          <w:rFonts w:asciiTheme="minorEastAsia" w:eastAsiaTheme="minorEastAsia" w:hAnsiTheme="minorEastAsia" w:cs="Tahoma"/>
          <w:color w:val="FF0000"/>
          <w:sz w:val="36"/>
          <w:szCs w:val="36"/>
        </w:rPr>
        <w:t>训实录》和《提尔密集圣训实录》辑录。</w:t>
      </w:r>
    </w:p>
    <w:p w:rsidR="005C36CD" w:rsidRPr="005C36CD" w:rsidRDefault="005C36CD" w:rsidP="005C36CD">
      <w:pPr>
        <w:pStyle w:val="NormalWeb"/>
        <w:shd w:val="clear" w:color="auto" w:fill="FFFFFF"/>
        <w:spacing w:before="0" w:beforeAutospacing="0" w:after="150"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答：</w:t>
      </w:r>
      <w:r w:rsidRPr="005C36CD">
        <w:rPr>
          <w:rFonts w:asciiTheme="minorEastAsia" w:eastAsiaTheme="minorEastAsia" w:hAnsiTheme="minorEastAsia" w:cs="Tahoma"/>
          <w:sz w:val="36"/>
          <w:szCs w:val="36"/>
        </w:rPr>
        <w:t>一切赞颂，全归真主。</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lastRenderedPageBreak/>
        <w:t>第一：真主的使者（愿主福安之）说“谁抚养了两个女孩，一直到她俩长大成人，那么我和他在乐园里，像食指与中指一样临近。”《穆斯林圣训实录》（2631段）辑录；《提尔密集圣训实录》中（1914段）辑录：“谁抚养了两个女孩，我和他进入乐园的时候距离如此之近。”使者以两个手指示意。</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注释圣训的学者们认为这两段圣训指的就是抚养女孩和姐妹的优越性，伊玛目穆斯林把上述圣训列入“论善待女孩的优越性”，伊玛目提尔密集把它列为“论为女孩和姐妹费用的优越性”。</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谁如果真正的抚养和善待女儿和姐妹，就可以获得上述圣训中许诺的优越性，也就是与先知（愿主福安之）在乐园中为伴。</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关于抚养孤儿的优越性和丰厚报酬的圣训，比如《穆斯林圣训实录》（2983段）辑录：艾布·胡赖勒</w:t>
      </w:r>
      <w:r w:rsidRPr="005C36CD">
        <w:rPr>
          <w:rFonts w:asciiTheme="minorEastAsia" w:eastAsiaTheme="minorEastAsia" w:hAnsiTheme="minorEastAsia" w:cs="Tahoma"/>
          <w:sz w:val="36"/>
          <w:szCs w:val="36"/>
        </w:rPr>
        <w:lastRenderedPageBreak/>
        <w:t>（愿主喜悦之）传述：真主的使者（愿主福安之）说：“抚养自己的或者别人的孤儿的人，我与他在乐园中犹如这两个指头一样临近。”伊玛目马力克指着食指和中指。伊玛目脑威（愿主怜悯之）说：“至于说“自己的或者别人的孤儿”；自己的孤儿就是指亲戚当中的孤儿，比如爷爷的、母亲的、奶奶的、弟兄的、姐妹的、叔叔的、舅舅的、姑妈的和姨妈的等；别人的孤儿指的就是与自己没有亲属关系的外人或者陌生人的。”</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提尔密集圣训实录》（1918段）辑录：赛海里·本·赛尔德（愿主喜悦之）传述：真主的使者（愿主福安之）说：“我和抚养孤儿的人在乐园里犹如这两个指头一样临近。”他用食指和中指示意。谢赫艾利巴尼在《提尔密集圣训实录》中认为这是正确的圣训。</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lastRenderedPageBreak/>
        <w:t>第二：我们在（</w:t>
      </w:r>
      <w:hyperlink r:id="rId10" w:history="1">
        <w:r w:rsidRPr="005C36CD">
          <w:rPr>
            <w:rStyle w:val="Hyperlink"/>
            <w:rFonts w:asciiTheme="minorEastAsia" w:eastAsiaTheme="minorEastAsia" w:hAnsiTheme="minorEastAsia" w:cs="Tahoma"/>
            <w:color w:val="auto"/>
            <w:sz w:val="36"/>
            <w:szCs w:val="36"/>
          </w:rPr>
          <w:t>126003</w:t>
        </w:r>
      </w:hyperlink>
      <w:r w:rsidRPr="005C36CD">
        <w:rPr>
          <w:rFonts w:asciiTheme="minorEastAsia" w:eastAsiaTheme="minorEastAsia" w:hAnsiTheme="minorEastAsia" w:cs="Tahoma"/>
          <w:sz w:val="36"/>
          <w:szCs w:val="36"/>
        </w:rPr>
        <w:t>）号问题的回答中已经阐明了认义子的教法律例，它分为两类：允许的和禁止的；允许的准则就是抚养义子，照顾他的生活起居等一切事务，但是义子的血缘关系不能归于义父。</w:t>
      </w:r>
    </w:p>
    <w:p w:rsidR="005C36CD" w:rsidRPr="005C36CD" w:rsidRDefault="005C36CD" w:rsidP="005C36CD">
      <w:pPr>
        <w:pStyle w:val="NormalWeb"/>
        <w:shd w:val="clear" w:color="auto" w:fill="FFFFFF"/>
        <w:spacing w:before="0" w:beforeAutospacing="0" w:after="150" w:afterAutospacing="0" w:line="480" w:lineRule="auto"/>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谁认了一个小女孩作为他的义女，如果小女孩长大成人了，那么抚养她的义父被认为是没有血缘关系的外人，她在义父的面前不能抛头露面，也不能与义父单独相处，但是可以问候和询问义父的情况，为了报答他的善行，以及在年幼之时对她的养育之恩。</w:t>
      </w:r>
    </w:p>
    <w:p w:rsidR="005C36CD" w:rsidRPr="005C36CD" w:rsidRDefault="005C36CD" w:rsidP="005C36CD">
      <w:pPr>
        <w:pStyle w:val="NormalWeb"/>
        <w:shd w:val="clear" w:color="auto" w:fill="FFFFFF"/>
        <w:spacing w:before="0" w:beforeAutospacing="0" w:after="150" w:afterAutospacing="0" w:line="480" w:lineRule="auto"/>
        <w:ind w:firstLineChars="200" w:firstLine="720"/>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在《学术研究和教法律例常任委员会法太瓦》中说：“你不能与你的义父单独相处，也不能在他的面前抛头露面，因为他对你而言是外人，义父义女之间并没有血缘关系。但是你可以对他说“色蓝”问候，不能与他握手；可以为他祈祷幸福，感谢他的养育之</w:t>
      </w:r>
      <w:r w:rsidRPr="005C36CD">
        <w:rPr>
          <w:rFonts w:asciiTheme="minorEastAsia" w:eastAsiaTheme="minorEastAsia" w:hAnsiTheme="minorEastAsia" w:cs="Tahoma"/>
          <w:sz w:val="36"/>
          <w:szCs w:val="36"/>
        </w:rPr>
        <w:lastRenderedPageBreak/>
        <w:t>恩和善待。”《学术研究和教法律例常任委员会法太瓦》( 20 / 363 - 364 ) 。</w:t>
      </w:r>
    </w:p>
    <w:p w:rsidR="005C36CD" w:rsidRPr="005C36CD" w:rsidRDefault="005C36CD" w:rsidP="005C36CD">
      <w:pPr>
        <w:pStyle w:val="NormalWeb"/>
        <w:shd w:val="clear" w:color="auto" w:fill="FFFFFF"/>
        <w:spacing w:before="0" w:beforeAutospacing="0" w:after="150" w:afterAutospacing="0" w:line="480" w:lineRule="auto"/>
        <w:jc w:val="both"/>
        <w:rPr>
          <w:rFonts w:asciiTheme="minorEastAsia" w:eastAsiaTheme="minorEastAsia" w:hAnsiTheme="minorEastAsia" w:cs="Tahoma"/>
          <w:sz w:val="36"/>
          <w:szCs w:val="36"/>
        </w:rPr>
      </w:pPr>
      <w:r w:rsidRPr="005C36CD">
        <w:rPr>
          <w:rFonts w:asciiTheme="minorEastAsia" w:eastAsiaTheme="minorEastAsia" w:hAnsiTheme="minorEastAsia" w:cs="Tahom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148" w:rsidRDefault="00284148" w:rsidP="00EB6455">
      <w:r>
        <w:separator/>
      </w:r>
    </w:p>
  </w:endnote>
  <w:endnote w:type="continuationSeparator" w:id="0">
    <w:p w:rsidR="00284148" w:rsidRDefault="00284148"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BD036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8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BD036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93461">
      <w:rPr>
        <w:noProof/>
        <w:sz w:val="28"/>
        <w:szCs w:val="28"/>
      </w:rPr>
      <w:t>5</w:t>
    </w:r>
    <w:r w:rsidRPr="00923817">
      <w:rPr>
        <w:sz w:val="28"/>
        <w:szCs w:val="28"/>
      </w:rPr>
      <w:fldChar w:fldCharType="end"/>
    </w:r>
  </w:p>
  <w:p w:rsidR="005C5331" w:rsidRPr="00156EB3" w:rsidRDefault="00284148"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148" w:rsidRDefault="00284148" w:rsidP="00EB6455">
      <w:r>
        <w:separator/>
      </w:r>
    </w:p>
  </w:footnote>
  <w:footnote w:type="continuationSeparator" w:id="0">
    <w:p w:rsidR="00284148" w:rsidRDefault="00284148"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84148"/>
    <w:rsid w:val="002A30C7"/>
    <w:rsid w:val="0031151D"/>
    <w:rsid w:val="00352158"/>
    <w:rsid w:val="003B55D3"/>
    <w:rsid w:val="00442CC2"/>
    <w:rsid w:val="00462A59"/>
    <w:rsid w:val="00482F6F"/>
    <w:rsid w:val="00493461"/>
    <w:rsid w:val="004E1EA8"/>
    <w:rsid w:val="005056E6"/>
    <w:rsid w:val="005C36CD"/>
    <w:rsid w:val="005C6719"/>
    <w:rsid w:val="005F220A"/>
    <w:rsid w:val="0061619F"/>
    <w:rsid w:val="00616C3E"/>
    <w:rsid w:val="006412A0"/>
    <w:rsid w:val="00657854"/>
    <w:rsid w:val="0066117B"/>
    <w:rsid w:val="006D5DD9"/>
    <w:rsid w:val="007B587A"/>
    <w:rsid w:val="00844DDF"/>
    <w:rsid w:val="00856385"/>
    <w:rsid w:val="008B2286"/>
    <w:rsid w:val="008C1908"/>
    <w:rsid w:val="008E052A"/>
    <w:rsid w:val="0093085A"/>
    <w:rsid w:val="00935B96"/>
    <w:rsid w:val="00945734"/>
    <w:rsid w:val="00962983"/>
    <w:rsid w:val="009750B0"/>
    <w:rsid w:val="009D344A"/>
    <w:rsid w:val="00A11098"/>
    <w:rsid w:val="00A2494F"/>
    <w:rsid w:val="00A3521C"/>
    <w:rsid w:val="00A60587"/>
    <w:rsid w:val="00A75D47"/>
    <w:rsid w:val="00B83686"/>
    <w:rsid w:val="00BC1D95"/>
    <w:rsid w:val="00BD036B"/>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B3C5F-7ED2-4E18-BCD4-BCA04534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5C36CD"/>
    <w:rPr>
      <w:color w:val="0000FF" w:themeColor="hyperlink"/>
      <w:u w:val="single"/>
    </w:rPr>
  </w:style>
  <w:style w:type="paragraph" w:customStyle="1" w:styleId="list-group-item-text">
    <w:name w:val="list-group-item-text"/>
    <w:basedOn w:val="Normal"/>
    <w:rsid w:val="005C36CD"/>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5C36CD"/>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islamqa.info/zh/126003"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773</Words>
  <Characters>875</Characters>
  <Application>Microsoft Office Word</Application>
  <DocSecurity>0</DocSecurity>
  <Lines>54</Lines>
  <Paragraphs>35</Paragraphs>
  <ScaleCrop>false</ScaleCrop>
  <Manager/>
  <Company>islamhouse.com</Company>
  <LinksUpToDate>false</LinksUpToDate>
  <CharactersWithSpaces>1613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抚养孤儿的优越性，以及孤女长大成人之后认作义女，他俩之间的关系</dc:title>
  <dc:subject>抚养孤儿的优越性，以及孤女长大成人之后认作义女，他俩之间的关系</dc:subject>
  <dc:creator>伊斯兰问答网站_x000d_</dc:creator>
  <cp:keywords>抚养孤儿的优越性，以及孤女长大成人之后认作义女，他俩之间的关系</cp:keywords>
  <dc:description>抚养孤儿的优越性，以及孤女长大成人之后认作义女，他俩之间的关系</dc:description>
  <cp:lastModifiedBy>elhashemy</cp:lastModifiedBy>
  <cp:revision>3</cp:revision>
  <dcterms:created xsi:type="dcterms:W3CDTF">2015-02-14T23:10:00Z</dcterms:created>
  <dcterms:modified xsi:type="dcterms:W3CDTF">2015-03-03T10:53:00Z</dcterms:modified>
  <cp:category/>
</cp:coreProperties>
</file>