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66580F" w:rsidRPr="0066580F" w:rsidRDefault="00237CFB" w:rsidP="0066580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rtl/>
          <w:lang w:eastAsia="zh-CN"/>
        </w:rPr>
      </w:pPr>
      <w:r w:rsidRPr="0066580F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负责人努力把一家有息银行转变</w:t>
      </w:r>
    </w:p>
    <w:p w:rsidR="00B702E8" w:rsidRPr="0066580F" w:rsidRDefault="00237CFB" w:rsidP="0066580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66580F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成伊斯兰银行，可以在其中工作吗？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66580F" w:rsidRPr="0066580F" w:rsidRDefault="00237CFB" w:rsidP="0066580F">
      <w:pPr>
        <w:spacing w:after="82"/>
        <w:jc w:val="center"/>
        <w:outlineLvl w:val="3"/>
        <w:rPr>
          <w:rFonts w:ascii="Simplified Arabic" w:eastAsia="SimSun" w:hAnsi="Simplified Arabic" w:cs="Simplified Arabic"/>
          <w:b/>
          <w:bCs/>
          <w:color w:val="385623" w:themeColor="accent6" w:themeShade="80"/>
          <w:sz w:val="44"/>
          <w:szCs w:val="44"/>
          <w:rtl/>
        </w:rPr>
      </w:pPr>
      <w:r w:rsidRPr="0066580F">
        <w:rPr>
          <w:rFonts w:ascii="Simplified Arabic" w:eastAsia="SimSun" w:hAnsi="Simplified Arabic" w:cs="Simplified Arabic"/>
          <w:b/>
          <w:bCs/>
          <w:color w:val="385623" w:themeColor="accent6" w:themeShade="80"/>
          <w:sz w:val="44"/>
          <w:szCs w:val="44"/>
          <w:rtl/>
        </w:rPr>
        <w:t>هل يجوز العمل ببنك ربوي يسعى</w:t>
      </w:r>
    </w:p>
    <w:p w:rsidR="00237CFB" w:rsidRPr="0066580F" w:rsidRDefault="00237CFB" w:rsidP="0066580F">
      <w:pPr>
        <w:spacing w:after="82"/>
        <w:jc w:val="center"/>
        <w:outlineLvl w:val="3"/>
        <w:rPr>
          <w:rFonts w:ascii="Simplified Arabic" w:eastAsia="SimSun" w:hAnsi="Simplified Arabic" w:cs="Simplified Arabic"/>
          <w:b/>
          <w:bCs/>
          <w:color w:val="385623" w:themeColor="accent6" w:themeShade="80"/>
          <w:sz w:val="44"/>
          <w:szCs w:val="44"/>
        </w:rPr>
      </w:pPr>
      <w:r w:rsidRPr="0066580F">
        <w:rPr>
          <w:rFonts w:ascii="Simplified Arabic" w:eastAsia="SimSun" w:hAnsi="Simplified Arabic" w:cs="Simplified Arabic"/>
          <w:b/>
          <w:bCs/>
          <w:color w:val="385623" w:themeColor="accent6" w:themeShade="80"/>
          <w:sz w:val="44"/>
          <w:szCs w:val="44"/>
          <w:rtl/>
        </w:rPr>
        <w:t>القائمون عليه في تحويله إلى بنك إسلامي ؟</w:t>
      </w:r>
    </w:p>
    <w:p w:rsidR="000C7B4F" w:rsidRDefault="000C7B4F" w:rsidP="00237CFB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66580F" w:rsidRDefault="0066580F" w:rsidP="0066580F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66580F" w:rsidRPr="003B029D" w:rsidRDefault="0066580F" w:rsidP="0066580F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1247775</wp:posOffset>
            </wp:positionH>
            <wp:positionV relativeFrom="paragraph">
              <wp:posOffset>8890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rtl/>
          <w:lang w:eastAsia="zh-CN"/>
        </w:rPr>
      </w:pPr>
    </w:p>
    <w:p w:rsidR="0066580F" w:rsidRDefault="0066580F" w:rsidP="0066580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rtl/>
          <w:lang w:eastAsia="zh-CN"/>
        </w:rPr>
      </w:pPr>
    </w:p>
    <w:p w:rsidR="0066580F" w:rsidRDefault="0066580F" w:rsidP="0066580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66580F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36"/>
          <w:szCs w:val="36"/>
          <w:lang w:eastAsia="zh-CN"/>
        </w:rPr>
      </w:pPr>
      <w:r w:rsidRPr="0066580F">
        <w:rPr>
          <w:rFonts w:ascii="SimSun" w:eastAsia="SimSun" w:hAnsi="SimSun" w:cs="SimSun" w:hint="eastAsia"/>
          <w:b/>
          <w:bCs/>
          <w:sz w:val="36"/>
          <w:szCs w:val="36"/>
          <w:lang w:eastAsia="zh-CN"/>
        </w:rPr>
        <w:t>编审</w:t>
      </w:r>
      <w:r w:rsidRPr="0066580F">
        <w:rPr>
          <w:rFonts w:ascii="STXingkai" w:eastAsia="STXingkai" w:hAnsi="TR Bahamas Light"/>
          <w:b/>
          <w:bCs/>
          <w:sz w:val="36"/>
          <w:szCs w:val="36"/>
          <w:lang w:val="tr-TR" w:eastAsia="zh-CN"/>
        </w:rPr>
        <w:t>:</w:t>
      </w:r>
      <w:r w:rsidRPr="0066580F">
        <w:rPr>
          <w:rFonts w:ascii="TR Bahamas Light" w:hAnsi="TR Bahamas Light" w:cs="mylotus"/>
          <w:b/>
          <w:bCs/>
          <w:sz w:val="36"/>
          <w:szCs w:val="36"/>
          <w:lang w:eastAsia="zh-CN"/>
        </w:rPr>
        <w:t xml:space="preserve"> </w:t>
      </w:r>
      <w:r w:rsidRPr="0066580F">
        <w:rPr>
          <w:rFonts w:asciiTheme="minorEastAsia" w:hAnsiTheme="minorEastAsia" w:hint="eastAsia"/>
          <w:b/>
          <w:bCs/>
          <w:kern w:val="28"/>
          <w:sz w:val="36"/>
          <w:szCs w:val="36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6580F" w:rsidRDefault="00237CFB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rtl/>
          <w:lang w:eastAsia="zh-CN" w:bidi="ar-EG"/>
        </w:rPr>
      </w:pPr>
      <w:r w:rsidRPr="00237CFB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t>负责人努力把一家有息银行转变</w:t>
      </w:r>
    </w:p>
    <w:p w:rsidR="00226092" w:rsidRPr="00237CFB" w:rsidRDefault="0066580F" w:rsidP="0066580F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76F3CEBC" wp14:editId="024F0414">
            <wp:simplePos x="0" y="0"/>
            <wp:positionH relativeFrom="margin">
              <wp:posOffset>521970</wp:posOffset>
            </wp:positionH>
            <wp:positionV relativeFrom="paragraph">
              <wp:posOffset>19050</wp:posOffset>
            </wp:positionV>
            <wp:extent cx="4711700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7CFB" w:rsidRPr="00237CFB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t>成伊斯兰银行，可以在其中工作吗？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bookmarkStart w:id="0" w:name="_GoBack"/>
      <w:bookmarkEnd w:id="0"/>
    </w:p>
    <w:p w:rsidR="0066580F" w:rsidRDefault="00237CFB" w:rsidP="0066580F">
      <w:pPr>
        <w:pStyle w:val="list-group-item-text"/>
        <w:shd w:val="clear" w:color="auto" w:fill="FFFFFF"/>
        <w:spacing w:before="0" w:beforeAutospacing="0" w:after="0" w:afterAutospacing="0" w:line="36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  <w:rtl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237CFB">
        <w:rPr>
          <w:rFonts w:ascii="Tahoma" w:hAnsi="Tahoma" w:cs="Tahoma"/>
          <w:b/>
          <w:bCs/>
          <w:color w:val="FF0000"/>
          <w:sz w:val="32"/>
          <w:szCs w:val="32"/>
        </w:rPr>
        <w:t>一家有伊斯兰分行和商业分支的银行招聘我，在商业分行中进行了招聘的面试，当我表示想在伊斯兰分行工作时，有人告诉我，他们正在准备把这个银行转变成伊斯兰银行，其中有一个人负责人是伊斯兰银行的专家，并说在这里工作可以获得双份的报酬，把有息银行转变成伊斯兰银行的报酬、以及在伊斯兰银行工作的报酬。</w:t>
      </w:r>
    </w:p>
    <w:p w:rsidR="0066580F" w:rsidRDefault="00237CFB" w:rsidP="0066580F">
      <w:pPr>
        <w:pStyle w:val="list-group-item-text"/>
        <w:shd w:val="clear" w:color="auto" w:fill="FFFFFF"/>
        <w:spacing w:before="0" w:beforeAutospacing="0" w:after="0" w:afterAutospacing="0" w:line="360" w:lineRule="auto"/>
        <w:ind w:leftChars="322" w:left="708" w:firstLine="1"/>
        <w:jc w:val="both"/>
        <w:rPr>
          <w:rFonts w:ascii="Tahoma" w:hAnsi="Tahoma" w:cs="Tahoma"/>
          <w:b/>
          <w:bCs/>
          <w:color w:val="FF0000"/>
          <w:sz w:val="32"/>
          <w:szCs w:val="32"/>
          <w:rtl/>
        </w:rPr>
      </w:pPr>
      <w:r w:rsidRPr="00237CFB">
        <w:rPr>
          <w:rFonts w:ascii="Tahoma" w:hAnsi="Tahoma" w:cs="Tahoma"/>
          <w:b/>
          <w:bCs/>
          <w:color w:val="FF0000"/>
          <w:sz w:val="32"/>
          <w:szCs w:val="32"/>
        </w:rPr>
        <w:t>我的问题是想确定一下，在转变的这个过程期间，我可以在商业银行工作，一直到它转变成伊斯兰银行吗？我的这个工作可以获得真主的报酬吗？</w:t>
      </w:r>
    </w:p>
    <w:p w:rsidR="00237CFB" w:rsidRPr="00237CFB" w:rsidRDefault="00237CFB" w:rsidP="0066580F">
      <w:pPr>
        <w:pStyle w:val="list-group-item-text"/>
        <w:shd w:val="clear" w:color="auto" w:fill="FFFFFF"/>
        <w:spacing w:before="0" w:beforeAutospacing="0" w:after="0" w:afterAutospacing="0" w:line="360" w:lineRule="auto"/>
        <w:ind w:leftChars="321" w:left="707" w:hanging="1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 w:rsidRPr="00237CFB">
        <w:rPr>
          <w:rFonts w:ascii="Tahoma" w:hAnsi="Tahoma" w:cs="Tahoma"/>
          <w:b/>
          <w:bCs/>
          <w:color w:val="FF0000"/>
          <w:sz w:val="32"/>
          <w:szCs w:val="32"/>
        </w:rPr>
        <w:t>因为我将会在建立伊斯兰银行中做出贡献，那是因为我有在伊斯兰银行工作的经验，以及我的管理职务，须知我目前正在一个伊斯兰银行工作，但是我很不满意，因为在其中有许多超越伊斯兰教法和违背教法的经济交易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237CFB">
        <w:rPr>
          <w:rFonts w:ascii="Tahoma" w:hAnsi="Tahoma" w:cs="Tahoma"/>
          <w:sz w:val="32"/>
          <w:szCs w:val="32"/>
        </w:rPr>
        <w:t>一切赞颂，全归真主。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第一：在经济交往中没有遵循伊斯兰教法律列的商业银行中不可以工作，因为这是教法禁止的工作，也是为罪恶和侵略互助合作的行为，因为这些银行在经济交往中依靠大量的高利贷、赌博和违背教法的交易。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敬请参阅（</w:t>
      </w:r>
      <w:hyperlink r:id="rId8" w:history="1">
        <w:r w:rsidRPr="00237CFB">
          <w:rPr>
            <w:rStyle w:val="Hyperlink"/>
            <w:rFonts w:ascii="Tahoma" w:hAnsi="Tahoma" w:cs="Tahoma"/>
            <w:color w:val="auto"/>
            <w:sz w:val="32"/>
            <w:szCs w:val="32"/>
          </w:rPr>
          <w:t>90131</w:t>
        </w:r>
      </w:hyperlink>
      <w:r w:rsidRPr="00237CFB">
        <w:rPr>
          <w:rFonts w:ascii="Tahoma" w:hAnsi="Tahoma" w:cs="Tahoma"/>
          <w:sz w:val="32"/>
          <w:szCs w:val="32"/>
        </w:rPr>
        <w:t>）、（</w:t>
      </w:r>
      <w:hyperlink r:id="rId9" w:history="1">
        <w:r w:rsidRPr="00237CFB">
          <w:rPr>
            <w:rStyle w:val="Hyperlink"/>
            <w:rFonts w:ascii="Tahoma" w:hAnsi="Tahoma" w:cs="Tahoma"/>
            <w:color w:val="auto"/>
            <w:sz w:val="32"/>
            <w:szCs w:val="32"/>
          </w:rPr>
          <w:t>104930</w:t>
        </w:r>
      </w:hyperlink>
      <w:r w:rsidRPr="00237CFB">
        <w:rPr>
          <w:rFonts w:ascii="Tahoma" w:hAnsi="Tahoma" w:cs="Tahoma"/>
          <w:sz w:val="32"/>
          <w:szCs w:val="32"/>
        </w:rPr>
        <w:t>）和（</w:t>
      </w:r>
      <w:hyperlink r:id="rId10" w:history="1">
        <w:r w:rsidRPr="00237CFB">
          <w:rPr>
            <w:rStyle w:val="Hyperlink"/>
            <w:rFonts w:ascii="Tahoma" w:hAnsi="Tahoma" w:cs="Tahoma"/>
            <w:color w:val="auto"/>
            <w:sz w:val="32"/>
            <w:szCs w:val="32"/>
          </w:rPr>
          <w:t>153084</w:t>
        </w:r>
      </w:hyperlink>
      <w:r w:rsidRPr="00237CFB">
        <w:rPr>
          <w:rFonts w:ascii="Tahoma" w:hAnsi="Tahoma" w:cs="Tahoma"/>
          <w:sz w:val="32"/>
          <w:szCs w:val="32"/>
        </w:rPr>
        <w:t>）问题的回答。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lastRenderedPageBreak/>
        <w:t>第二：如果伊斯兰银行真的按照伊斯兰的教法律列进行交易，可以在其中工作，可以与它进行经济交往。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但是，如果这些伊斯兰银行空有虚名，实际上仍然与利息打交道，进行教法禁止的交易，那么，与它打交道是教法禁止的，即使他们称其为</w:t>
      </w:r>
      <w:r w:rsidRPr="00237CFB">
        <w:rPr>
          <w:rFonts w:ascii="Tahoma" w:hAnsi="Tahoma" w:cs="Tahoma"/>
          <w:sz w:val="32"/>
          <w:szCs w:val="32"/>
        </w:rPr>
        <w:t>“</w:t>
      </w:r>
      <w:r w:rsidRPr="00237CFB">
        <w:rPr>
          <w:rFonts w:ascii="Tahoma" w:hAnsi="Tahoma" w:cs="Tahoma"/>
          <w:sz w:val="32"/>
          <w:szCs w:val="32"/>
        </w:rPr>
        <w:t>伊斯兰银行</w:t>
      </w:r>
      <w:r w:rsidRPr="00237CFB">
        <w:rPr>
          <w:rFonts w:ascii="Tahoma" w:hAnsi="Tahoma" w:cs="Tahoma"/>
          <w:sz w:val="32"/>
          <w:szCs w:val="32"/>
        </w:rPr>
        <w:t>”</w:t>
      </w:r>
      <w:r w:rsidRPr="00237CFB">
        <w:rPr>
          <w:rFonts w:ascii="Tahoma" w:hAnsi="Tahoma" w:cs="Tahoma"/>
          <w:sz w:val="32"/>
          <w:szCs w:val="32"/>
        </w:rPr>
        <w:t>也罢，因为最重要的是事实和意义，而不是建筑物，关键是实质，而不是名称。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敬请参阅（</w:t>
      </w:r>
      <w:hyperlink r:id="rId11" w:history="1">
        <w:r w:rsidRPr="00237CFB">
          <w:rPr>
            <w:rStyle w:val="Hyperlink"/>
            <w:rFonts w:ascii="Tahoma" w:hAnsi="Tahoma" w:cs="Tahoma"/>
            <w:color w:val="auto"/>
            <w:sz w:val="32"/>
            <w:szCs w:val="32"/>
          </w:rPr>
          <w:t>47651</w:t>
        </w:r>
      </w:hyperlink>
      <w:r w:rsidRPr="00237CFB">
        <w:rPr>
          <w:rFonts w:ascii="Tahoma" w:hAnsi="Tahoma" w:cs="Tahoma"/>
          <w:sz w:val="32"/>
          <w:szCs w:val="32"/>
        </w:rPr>
        <w:t>）号问题的回答。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第三：如果该银行有一些伊斯兰分行，在其交易中遵循伊斯兰的教法律列，还有另外的一些分行，在其交易中没有遵循伊斯兰的教法律列，那么，只能在伊斯兰分行工作，条件是必须要遵循伊斯兰的教法律列，并有自己专门的系统，不受有息银行的总系统的制约，而且有可靠的教法机构的监督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敬请参阅（</w:t>
      </w:r>
      <w:hyperlink r:id="rId12" w:history="1">
        <w:r w:rsidRPr="00237CFB">
          <w:rPr>
            <w:rStyle w:val="Hyperlink"/>
            <w:rFonts w:ascii="Tahoma" w:hAnsi="Tahoma" w:cs="Tahoma"/>
            <w:color w:val="auto"/>
            <w:sz w:val="32"/>
            <w:szCs w:val="32"/>
          </w:rPr>
          <w:t>106602</w:t>
        </w:r>
      </w:hyperlink>
      <w:r w:rsidRPr="00237CFB">
        <w:rPr>
          <w:rFonts w:ascii="Tahoma" w:hAnsi="Tahoma" w:cs="Tahoma"/>
          <w:sz w:val="32"/>
          <w:szCs w:val="32"/>
        </w:rPr>
        <w:t>）和（</w:t>
      </w:r>
      <w:hyperlink r:id="rId13" w:history="1">
        <w:r w:rsidRPr="00237CFB">
          <w:rPr>
            <w:rStyle w:val="Hyperlink"/>
            <w:rFonts w:ascii="Tahoma" w:hAnsi="Tahoma" w:cs="Tahoma"/>
            <w:color w:val="auto"/>
            <w:sz w:val="32"/>
            <w:szCs w:val="32"/>
          </w:rPr>
          <w:t>118294</w:t>
        </w:r>
      </w:hyperlink>
      <w:r w:rsidRPr="00237CFB">
        <w:rPr>
          <w:rFonts w:ascii="Tahoma" w:hAnsi="Tahoma" w:cs="Tahoma"/>
          <w:sz w:val="32"/>
          <w:szCs w:val="32"/>
        </w:rPr>
        <w:t>）号问题的回答。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第四：在准备伊斯兰化的银行里工作：如果这些银行严肃认真的执行实际转变计划、结算旧有的利息交易，并认真的进行伊斯兰化，核对账目，没有接受或者更新教法禁止的交易，那么，可以在其中工作，谁如果为了博取真主的喜悦而在其中虔诚实意的工作，他可以获得真主的报酬，前提是银行里必须要有可靠教法机构，负责伊斯兰化的过程，同时负责银行以后的经济交往，银行的管理层必须要执行教法机构的决定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但是，如果银行的实际转变计划非常缓慢，很不严肃，银行仍然增加新的利息交易，说它在等待合适的时间或者环境，或者</w:t>
      </w:r>
      <w:r w:rsidRPr="00237CFB">
        <w:rPr>
          <w:rFonts w:ascii="Tahoma" w:hAnsi="Tahoma" w:cs="Tahoma"/>
          <w:sz w:val="32"/>
          <w:szCs w:val="32"/>
        </w:rPr>
        <w:lastRenderedPageBreak/>
        <w:t>忏悔的适当机会，那么，不允许在其中工作，因为教法禁止的交易仍然在没有任何借口的情况下继续存在，真主既往不咎的条件就是必须要停止触犯新的罪恶，真主说：</w:t>
      </w:r>
      <w:r w:rsidRPr="00237CFB">
        <w:rPr>
          <w:rFonts w:ascii="Tahoma" w:hAnsi="Tahoma" w:cs="Tahoma"/>
          <w:sz w:val="32"/>
          <w:szCs w:val="32"/>
        </w:rPr>
        <w:t>“</w:t>
      </w:r>
      <w:r w:rsidRPr="00237CFB">
        <w:rPr>
          <w:rFonts w:ascii="Tahoma" w:hAnsi="Tahoma" w:cs="Tahoma"/>
          <w:sz w:val="32"/>
          <w:szCs w:val="32"/>
        </w:rPr>
        <w:t>你告诉不信道的人们：如果他们停止战争，那么，他们以往的罪恶将蒙赦宥；如果他们执迷不悟，那么，古人的常道已逝去了。</w:t>
      </w:r>
      <w:r w:rsidRPr="00237CFB">
        <w:rPr>
          <w:rFonts w:ascii="Tahoma" w:hAnsi="Tahoma" w:cs="Tahoma"/>
          <w:sz w:val="32"/>
          <w:szCs w:val="32"/>
        </w:rPr>
        <w:t>”</w:t>
      </w:r>
      <w:r w:rsidRPr="00237CFB">
        <w:rPr>
          <w:rFonts w:ascii="Tahoma" w:hAnsi="Tahoma" w:cs="Tahoma"/>
          <w:sz w:val="32"/>
          <w:szCs w:val="32"/>
        </w:rPr>
        <w:t>（</w:t>
      </w:r>
      <w:r w:rsidRPr="00237CFB">
        <w:rPr>
          <w:rFonts w:ascii="Tahoma" w:hAnsi="Tahoma" w:cs="Tahoma"/>
          <w:sz w:val="32"/>
          <w:szCs w:val="32"/>
        </w:rPr>
        <w:t>8:38</w:t>
      </w:r>
      <w:r w:rsidRPr="00237CFB">
        <w:rPr>
          <w:rFonts w:ascii="Tahoma" w:hAnsi="Tahoma" w:cs="Tahoma"/>
          <w:sz w:val="32"/>
          <w:szCs w:val="32"/>
        </w:rPr>
        <w:t>）。</w:t>
      </w:r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谢赫阿卜杜</w:t>
      </w:r>
      <w:r w:rsidRPr="00237CFB">
        <w:rPr>
          <w:rFonts w:ascii="Tahoma" w:hAnsi="Tahoma" w:cs="Tahoma"/>
          <w:sz w:val="32"/>
          <w:szCs w:val="32"/>
        </w:rPr>
        <w:t>•</w:t>
      </w:r>
      <w:r w:rsidRPr="00237CFB">
        <w:rPr>
          <w:rFonts w:ascii="Tahoma" w:hAnsi="Tahoma" w:cs="Tahoma"/>
          <w:sz w:val="32"/>
          <w:szCs w:val="32"/>
        </w:rPr>
        <w:t>阿齐兹</w:t>
      </w:r>
      <w:r w:rsidRPr="00237CFB">
        <w:rPr>
          <w:rFonts w:ascii="Tahoma" w:hAnsi="Tahoma" w:cs="Tahoma"/>
          <w:sz w:val="32"/>
          <w:szCs w:val="32"/>
        </w:rPr>
        <w:t>•</w:t>
      </w:r>
      <w:r w:rsidRPr="00237CFB">
        <w:rPr>
          <w:rFonts w:ascii="Tahoma" w:hAnsi="Tahoma" w:cs="Tahoma"/>
          <w:sz w:val="32"/>
          <w:szCs w:val="32"/>
        </w:rPr>
        <w:t>福扎尼（愿主怜悯之）说：</w:t>
      </w:r>
      <w:r w:rsidRPr="00237CFB">
        <w:rPr>
          <w:rFonts w:ascii="Tahoma" w:hAnsi="Tahoma" w:cs="Tahoma"/>
          <w:sz w:val="32"/>
          <w:szCs w:val="32"/>
        </w:rPr>
        <w:t>“</w:t>
      </w:r>
      <w:r w:rsidRPr="00237CFB">
        <w:rPr>
          <w:rFonts w:ascii="Tahoma" w:hAnsi="Tahoma" w:cs="Tahoma"/>
          <w:sz w:val="32"/>
          <w:szCs w:val="32"/>
        </w:rPr>
        <w:t>可以在伊斯兰银行工作，必须要遵循教法委员会和教法机构规定的准则，也可以在准备转变成伊斯兰银行的银行里工作；至于有利息的银行，教法不允许在其中工作，哪怕是在允许的领域也罢。</w:t>
      </w:r>
      <w:r w:rsidRPr="00237CFB">
        <w:rPr>
          <w:rFonts w:ascii="Tahoma" w:hAnsi="Tahoma" w:cs="Tahoma"/>
          <w:sz w:val="32"/>
          <w:szCs w:val="32"/>
        </w:rPr>
        <w:t>”</w:t>
      </w:r>
    </w:p>
    <w:p w:rsidR="00237CFB" w:rsidRPr="00237CFB" w:rsidRDefault="00B238F5" w:rsidP="0066580F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2"/>
          <w:szCs w:val="32"/>
        </w:rPr>
      </w:pPr>
      <w:hyperlink r:id="rId14" w:history="1">
        <w:r w:rsidR="00237CFB" w:rsidRPr="00237CFB">
          <w:rPr>
            <w:rStyle w:val="Hyperlink"/>
            <w:rFonts w:ascii="Tahoma" w:hAnsi="Tahoma" w:cs="Tahoma"/>
            <w:color w:val="auto"/>
            <w:sz w:val="32"/>
            <w:szCs w:val="32"/>
          </w:rPr>
          <w:t>http://fuqaha.islammessage.com/archive/index.php?t-510.html&amp;s=53ce64adaf1d90f0af9a9b203875407f</w:t>
        </w:r>
      </w:hyperlink>
    </w:p>
    <w:p w:rsidR="00237CFB" w:rsidRPr="00237CFB" w:rsidRDefault="00237CFB" w:rsidP="0066580F">
      <w:pPr>
        <w:pStyle w:val="NormalWeb"/>
        <w:shd w:val="clear" w:color="auto" w:fill="FFFFFF"/>
        <w:spacing w:before="0" w:beforeAutospacing="0" w:after="164" w:afterAutospacing="0" w:line="360" w:lineRule="auto"/>
        <w:jc w:val="both"/>
        <w:rPr>
          <w:rFonts w:ascii="Tahoma" w:hAnsi="Tahoma" w:cs="Tahoma"/>
          <w:sz w:val="32"/>
          <w:szCs w:val="32"/>
        </w:rPr>
      </w:pPr>
      <w:r w:rsidRPr="00237CFB">
        <w:rPr>
          <w:rFonts w:ascii="Tahoma" w:hAnsi="Tahoma" w:cs="Tahoma"/>
          <w:sz w:val="32"/>
          <w:szCs w:val="32"/>
        </w:rPr>
        <w:t>真主至知！</w:t>
      </w: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66580F">
          <w:headerReference w:type="default" r:id="rId15"/>
          <w:headerReference w:type="first" r:id="rId16"/>
          <w:pgSz w:w="11907" w:h="16840" w:code="9"/>
          <w:pgMar w:top="1560" w:right="1418" w:bottom="567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8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8F5" w:rsidRDefault="00B238F5" w:rsidP="00E32771">
      <w:pPr>
        <w:spacing w:after="0" w:line="240" w:lineRule="auto"/>
      </w:pPr>
      <w:r>
        <w:separator/>
      </w:r>
    </w:p>
  </w:endnote>
  <w:endnote w:type="continuationSeparator" w:id="0">
    <w:p w:rsidR="00B238F5" w:rsidRDefault="00B238F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C27E89C6-6325-4985-91D8-7D83EA628738}"/>
    <w:embedBold r:id="rId2" w:subsetted="1" w:fontKey="{71308C74-46A0-4123-A2AE-BD3CB1EE2E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 r:id="rId3" w:subsetted="1" w:fontKey="{6D7AF4AC-53DA-4B25-B42B-725B4593EE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4" w:subsetted="1" w:fontKey="{C6CAA8D1-750B-43A9-B3A3-F70860592DA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5" w:subsetted="1" w:fontKey="{39554033-02D2-464F-A9AE-281051184810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6" w:subsetted="1" w:fontKey="{DA6ACA9B-0416-4F82-9138-3D83089652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A358994-28C5-46AE-848A-E478BECF8A3B}"/>
    <w:embedBold r:id="rId8" w:fontKey="{3D21B4EB-F7B8-4A0A-9043-131375CDD18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56BB7946-2BC5-4E3B-8484-B5489E8AE77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8F5" w:rsidRDefault="00B238F5" w:rsidP="00E32771">
      <w:pPr>
        <w:spacing w:after="0" w:line="240" w:lineRule="auto"/>
      </w:pPr>
      <w:r>
        <w:separator/>
      </w:r>
    </w:p>
  </w:footnote>
  <w:footnote w:type="continuationSeparator" w:id="0">
    <w:p w:rsidR="00B238F5" w:rsidRDefault="00B238F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B238F5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470C2B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470C2B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8E19F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470C2B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B238F5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238F5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37CFB"/>
    <w:rsid w:val="00243B61"/>
    <w:rsid w:val="00267C61"/>
    <w:rsid w:val="00270AE8"/>
    <w:rsid w:val="00286D8E"/>
    <w:rsid w:val="002A3916"/>
    <w:rsid w:val="002B2FF1"/>
    <w:rsid w:val="002B662B"/>
    <w:rsid w:val="002C4329"/>
    <w:rsid w:val="002F77B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70C2B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6580F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19F9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238F5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76405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E02F80C-6F0C-46C4-A5FB-234B3A05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237CFB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237CF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237CFB"/>
  </w:style>
  <w:style w:type="paragraph" w:styleId="NormalWeb">
    <w:name w:val="Normal (Web)"/>
    <w:basedOn w:val="Normal"/>
    <w:uiPriority w:val="99"/>
    <w:semiHidden/>
    <w:unhideWhenUsed/>
    <w:rsid w:val="00237CF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0131" TargetMode="External"/><Relationship Id="rId13" Type="http://schemas.openxmlformats.org/officeDocument/2006/relationships/hyperlink" Target="http://islamqa.info/zh/118294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slamqa.info/zh/106602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476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islamqa.info/zh/15308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04930" TargetMode="External"/><Relationship Id="rId14" Type="http://schemas.openxmlformats.org/officeDocument/2006/relationships/hyperlink" Target="http://fuqaha.islammessage.com/archive/index.php?t-510.html&amp;s=53ce64adaf1d90f0af9a9b203875407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A4230-0C08-411A-BBA4-77A9A77F6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941</Words>
  <Characters>1101</Characters>
  <Application>Microsoft Office Word</Application>
  <DocSecurity>0</DocSecurity>
  <Lines>61</Lines>
  <Paragraphs>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2007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负责人努力把一家有息银行转变_x000d_成伊斯兰银行，可以在其中工作吗</dc:title>
  <dc:subject>负责人努力把一家有息银行转变_x000d_成伊斯兰银行，可以在其中工作吗</dc:subject>
  <dc:creator>ibndawod</dc:creator>
  <cp:keywords>负责人努力把一家有息银行转变_x000d_成伊斯兰银行，可以在其中工作吗</cp:keywords>
  <dc:description>负责人努力把一家有息银行转变_x000d_成伊斯兰银行，可以在其中工作吗</dc:description>
  <cp:lastModifiedBy>elhashemy</cp:lastModifiedBy>
  <cp:revision>3</cp:revision>
  <cp:lastPrinted>2015-03-07T18:49:00Z</cp:lastPrinted>
  <dcterms:created xsi:type="dcterms:W3CDTF">2015-10-02T10:52:00Z</dcterms:created>
  <dcterms:modified xsi:type="dcterms:W3CDTF">2015-10-10T11:21:00Z</dcterms:modified>
  <cp:category/>
</cp:coreProperties>
</file>