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BB263C" w:rsidRDefault="00A03054" w:rsidP="00A03054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8378B2" w:rsidRDefault="00BB263C" w:rsidP="00BB263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কাযা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সম্পন্ন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করার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পূর্বে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সিয়াম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বিলম্বিত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করার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ফিদিয়া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আদায়</w:t>
      </w:r>
      <w:r w:rsidRPr="00BB263C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প্রসঙ্গ</w:t>
      </w:r>
    </w:p>
    <w:p w:rsidR="00A03054" w:rsidRPr="009070BE" w:rsidRDefault="00A03054" w:rsidP="00A03054">
      <w:pPr>
        <w:bidi w:val="0"/>
        <w:spacing w:line="240" w:lineRule="auto"/>
        <w:jc w:val="center"/>
        <w:rPr>
          <w:rFonts w:asciiTheme="majorBidi" w:hAnsiTheme="majorBidi" w:cs="Vrinda"/>
          <w:color w:val="595959" w:themeColor="text1" w:themeTint="A6"/>
          <w:sz w:val="28"/>
          <w:szCs w:val="35"/>
          <w:cs/>
          <w:lang w:bidi="bn-BD"/>
        </w:rPr>
      </w:pPr>
    </w:p>
    <w:p w:rsidR="00A03054" w:rsidRPr="00E96A90" w:rsidRDefault="00BB263C" w:rsidP="00BB263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إخراج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فدية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تأخير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الصيام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قبل</w:t>
      </w:r>
      <w:r w:rsidRPr="00BB26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القضاء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B9215D" w:rsidRDefault="00B9215D" w:rsidP="00B92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9070BE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="Vrinda"/>
          <w:color w:val="5EA1A5"/>
          <w:sz w:val="88"/>
          <w:szCs w:val="88"/>
          <w:cs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B263C" w:rsidP="00BB263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B26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</w:t>
      </w:r>
      <w:r w:rsidRPr="00BB263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B26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 w:rsidRPr="00BB263C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, </w:t>
      </w:r>
      <w:r w:rsidRPr="00BB26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B263C" w:rsidP="00BB263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B263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BB263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BB263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B263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BB263C" w:rsidRDefault="00A03054" w:rsidP="00477478">
      <w:pPr>
        <w:bidi w:val="0"/>
        <w:jc w:val="center"/>
        <w:rPr>
          <w:rFonts w:asciiTheme="majorBidi" w:hAnsiTheme="majorBidi" w:cs="Vrinda"/>
          <w:color w:val="7F7F7F" w:themeColor="text1" w:themeTint="80"/>
          <w:sz w:val="52"/>
          <w:szCs w:val="66"/>
          <w:lang w:bidi="bn-BD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BB263C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B263C" w:rsidRPr="00BB263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BB263C" w:rsidRPr="00BB263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B263C" w:rsidRPr="00BB263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BB263C" w:rsidRPr="00BB263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B263C" w:rsidRPr="00BB263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BB263C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B263C" w:rsidRPr="00BB26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BB263C" w:rsidRPr="00BB26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B263C" w:rsidRPr="00BB26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B263C" w:rsidRPr="00BB26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B263C" w:rsidRPr="00BB26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BB263C" w:rsidRPr="00BB26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B263C" w:rsidRPr="00BB26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BB263C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12"/>
          <w:szCs w:val="12"/>
          <w:lang w:bidi="ar-EG"/>
        </w:rPr>
      </w:pPr>
    </w:p>
    <w:p w:rsidR="00E942BB" w:rsidRPr="00BB263C" w:rsidRDefault="00E942BB" w:rsidP="00BB263C">
      <w:pPr>
        <w:bidi w:val="0"/>
        <w:spacing w:line="240" w:lineRule="auto"/>
        <w:jc w:val="center"/>
        <w:rPr>
          <w:rFonts w:ascii="Kalpurush" w:hAnsi="Kalpurush" w:cs="Kalpurush"/>
          <w:b/>
          <w:bCs/>
          <w:color w:val="205B83"/>
          <w:sz w:val="28"/>
          <w:szCs w:val="28"/>
          <w:lang w:bidi="bn-BD"/>
        </w:rPr>
      </w:pPr>
      <w:r w:rsidRPr="00BB263C">
        <w:rPr>
          <w:rFonts w:ascii="Kalpurush" w:hAnsi="Kalpurush" w:cs="Kalpurush"/>
          <w:b/>
          <w:bCs/>
          <w:noProof/>
          <w:color w:val="205B83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665D83A" wp14:editId="6C2510D8">
            <wp:simplePos x="0" y="0"/>
            <wp:positionH relativeFrom="margin">
              <wp:posOffset>-9525</wp:posOffset>
            </wp:positionH>
            <wp:positionV relativeFrom="paragraph">
              <wp:posOffset>124270</wp:posOffset>
            </wp:positionV>
            <wp:extent cx="5842660" cy="473182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60" cy="47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কাযা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সম্পন্ন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করার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পূর্বে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সিয়াম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বিলম্বিত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করার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ফিদিয়া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আদায়</w:t>
      </w:r>
      <w:r w:rsidR="00BB263C" w:rsidRPr="00BB263C">
        <w:rPr>
          <w:rFonts w:ascii="Kalpurush" w:hAnsi="Kalpurush" w:cs="Kalpurush"/>
          <w:b/>
          <w:bCs/>
          <w:color w:val="205B83"/>
          <w:sz w:val="28"/>
          <w:szCs w:val="28"/>
          <w:cs/>
          <w:lang w:bidi="bn-BD"/>
        </w:rPr>
        <w:t xml:space="preserve"> </w:t>
      </w:r>
      <w:r w:rsidR="00BB263C" w:rsidRPr="00BB263C">
        <w:rPr>
          <w:rFonts w:ascii="Kalpurush" w:hAnsi="Kalpurush" w:cs="Kalpurush" w:hint="cs"/>
          <w:b/>
          <w:bCs/>
          <w:color w:val="205B83"/>
          <w:sz w:val="28"/>
          <w:szCs w:val="28"/>
          <w:cs/>
          <w:lang w:bidi="bn-BD"/>
        </w:rPr>
        <w:t>প্রসঙ্গ</w:t>
      </w:r>
    </w:p>
    <w:p w:rsidR="00BB263C" w:rsidRDefault="00BB263C" w:rsidP="00BB263C">
      <w:pPr>
        <w:tabs>
          <w:tab w:val="left" w:pos="2592"/>
        </w:tabs>
        <w:bidi w:val="0"/>
        <w:spacing w:after="0"/>
        <w:jc w:val="both"/>
        <w:rPr>
          <w:rFonts w:ascii="Nikosh" w:eastAsia="Nikosh" w:hAnsi="Nikosh" w:cs="Nikosh"/>
          <w:b/>
          <w:bCs/>
          <w:sz w:val="24"/>
          <w:szCs w:val="24"/>
          <w:lang w:bidi="bn-BD"/>
        </w:rPr>
      </w:pPr>
    </w:p>
    <w:p w:rsidR="00BB263C" w:rsidRPr="00BB263C" w:rsidRDefault="00BB263C" w:rsidP="00BB263C">
      <w:pPr>
        <w:tabs>
          <w:tab w:val="left" w:pos="2592"/>
        </w:tabs>
        <w:bidi w:val="0"/>
        <w:spacing w:after="0"/>
        <w:jc w:val="both"/>
        <w:rPr>
          <w:rFonts w:ascii="Kalpurush" w:eastAsia="SimSun" w:hAnsi="Kalpurush" w:cs="Kalpurush"/>
          <w:b/>
          <w:bCs/>
          <w:sz w:val="24"/>
          <w:szCs w:val="24"/>
        </w:rPr>
      </w:pPr>
      <w:r w:rsidRPr="00BB263C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প্রশ্ন: 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জনৈকা নারীর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ফিদিয়া ওয়াজিব। এখন সে আলাদা আলাদা প্রত্যেক দিনের ফিদিয়া আদায় করবে, না সম্পূর্ণ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শেষে এক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সাথে সকল দিনের ফিদিয়া আদায় করবে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BB263C" w:rsidRPr="00BB263C" w:rsidRDefault="00BB263C" w:rsidP="00BB263C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</w:t>
      </w:r>
      <w:r w:rsidRPr="00BB263C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softHyphen/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BB263C" w:rsidRPr="00BB263C" w:rsidRDefault="00BB263C" w:rsidP="009070BE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পরবর্তী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 পর্যন্ত যে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বিলম্ব করে, </w:t>
      </w:r>
      <w:bookmarkStart w:id="0" w:name="_GoBack"/>
      <w:bookmarkEnd w:id="0"/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এ বিলম্ব যদি কোনো অসুস্থতা অথবা গর্ভ ধারণ কিংবা দুগ্ধ পান করানো ইত্যাদি ওজরের ফলে হয়, তাহলে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শুধু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ই ওয়াজিব। আর যদি কোনো ওজর ছাড়া হয়, তবে সে গুনাহগার হবে।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ওয়াজিব। ফিদিয়া ওয়াজিব হবে কি না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? এ ব্যাপারে আলেমদের মাঝে মতভেদ রয়েছে। অধিকাংশ আলেমের মতে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পর ফিদিয়া ওয়াজিব হবে। অর্থাৎ প্রত্যেক দিনের পরিবর্তে একজন ফকিরকে খাদ্য দান করতে হবে। তবে বিশুদ্ধ মতানুযায়ী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</w:t>
      </w:r>
      <w:r w:rsidR="005768C1">
        <w:rPr>
          <w:rFonts w:ascii="Kalpurush" w:eastAsia="Nikosh" w:hAnsi="Kalpurush" w:cs="Kalpurush"/>
          <w:sz w:val="24"/>
          <w:szCs w:val="24"/>
          <w:cs/>
          <w:lang w:bidi="bn-BD"/>
        </w:rPr>
        <w:t>র ফিদিয়া ওয়াজিব হবে না। সতর্কতা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মূলক কেউ আদায় করলে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9070BE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</w:p>
    <w:p w:rsidR="00BB263C" w:rsidRPr="00BB263C" w:rsidRDefault="00BB263C" w:rsidP="00BB263C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যারা ফিদিয়া ওয়াজিব হওয়ার পক্ষে রায় দিয়েছেন, তাদের নিকট দ্বিতীয়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 প্রবেশ করলেই তা ওয়াজিব হয়। সে তা সে সময় আদায় কিংবা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পর্যন্ত অপেক্ষা করতে পারে, তবে দায়মুক্ত হওয়ার জন্য দ্রুত আদায় করাই উত্তম।</w:t>
      </w:r>
    </w:p>
    <w:p w:rsidR="00BB263C" w:rsidRPr="00BB263C" w:rsidRDefault="00BB263C" w:rsidP="00BB263C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Times New Roman" w:hAnsi="Times New Roman" w:cs="KFGQPC Uthman Taha Naskh" w:hint="cs"/>
          <w:sz w:val="24"/>
          <w:szCs w:val="24"/>
          <w:rtl/>
        </w:rPr>
        <w:t>الموسوعة</w:t>
      </w:r>
      <w:r w:rsidRPr="00BB263C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sz w:val="24"/>
          <w:szCs w:val="24"/>
          <w:rtl/>
        </w:rPr>
        <w:t>الفقهية</w:t>
      </w:r>
      <w:r w:rsidRPr="00BB263C">
        <w:rPr>
          <w:rFonts w:ascii="Kalpurush" w:hAnsi="Kalpurush" w:cs="Kalpurush"/>
          <w:sz w:val="24"/>
          <w:szCs w:val="24"/>
        </w:rPr>
        <w:t xml:space="preserve"> </w:t>
      </w:r>
      <w:r w:rsidRPr="00BB263C">
        <w:rPr>
          <w:rFonts w:ascii="Kalpurush" w:hAnsi="Kalpurush" w:cs="Kalpurush"/>
          <w:sz w:val="24"/>
          <w:szCs w:val="24"/>
          <w:rtl/>
        </w:rPr>
        <w:t>(28/76)</w:t>
      </w:r>
      <w:r w:rsidRPr="00BB263C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গ্রন্থে রয়েছে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: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ওয়াজিব 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তে হয়। জমহুর আলেমগণ বলেছেন, কিন্তু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সময় শেষ করা যাবে না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অর্থাৎ পরবর্তী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নের চাঁদ উদয় পর্যন্ত বিলম্ব করা যাবে না।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প্রথম ওয়াক্তের সালাত দ্বিতীয় ওয়াক্ত পর্যন্ত বিলম্ব করা দুরস্ত নয়। আয়েশা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া 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BB263C" w:rsidRPr="00BB263C" w:rsidRDefault="00BB263C" w:rsidP="00BB263C">
      <w:pPr>
        <w:spacing w:after="0"/>
        <w:jc w:val="both"/>
        <w:rPr>
          <w:rFonts w:ascii="Kalpurush" w:eastAsia="Times New Roman" w:hAnsi="Kalpurush" w:cs="KFGQPC Uthman Taha Naskh"/>
          <w:color w:val="333399"/>
          <w:sz w:val="24"/>
          <w:szCs w:val="24"/>
        </w:rPr>
      </w:pPr>
      <w:r w:rsidRPr="00BB263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كان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يكون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عليّ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الصّوم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رمضان،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فما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أستطيع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أقضيه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إلاّ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في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شعبان،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لمكان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النّبيّ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صلى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الله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عليه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وسلم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BB263C" w:rsidRPr="00BB263C" w:rsidRDefault="00BB263C" w:rsidP="00BB263C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‘‘আমার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থাকত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রাসূলু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উপস্থিতির কারণে আমি তা শাবান ছাড়া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করতে সক্ষম হতাম না।’’</w:t>
      </w:r>
    </w:p>
    <w:p w:rsidR="00BB263C" w:rsidRPr="00BB263C" w:rsidRDefault="00BB263C" w:rsidP="005768C1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জমহুর আলেমের নিকট দ্বিতীয়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 পর্যন্ত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বিলম্ব করা যাবে না, যদি কোনো কারণ ছাড়া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বিলম্ব করে, তবে গুনা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গার হবে। 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ল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হচ্ছে পূর্বোক্ত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আয়েশা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5768C1">
        <w:rPr>
          <w:rFonts w:ascii="Kalpurush" w:eastAsia="Nikosh" w:hAnsi="Kalpurush" w:cs="Kalpurush"/>
          <w:sz w:val="24"/>
          <w:szCs w:val="24"/>
          <w:cs/>
          <w:lang w:bidi="bn-BD"/>
        </w:rPr>
        <w:t>রাদিয়াল্লাহু ‘</w:t>
      </w:r>
      <w:r w:rsidR="005768C1" w:rsidRPr="005768C1">
        <w:rPr>
          <w:rFonts w:ascii="Kalpurush" w:eastAsia="Nikosh" w:hAnsi="Kalpurush" w:cs="Kalpurush"/>
          <w:sz w:val="24"/>
          <w:szCs w:val="24"/>
          <w:cs/>
          <w:lang w:bidi="bn-BD"/>
        </w:rPr>
        <w:t>আন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হা</w:t>
      </w:r>
      <w:r w:rsidRPr="005768C1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5768C1">
        <w:rPr>
          <w:rFonts w:ascii="Kalpurush" w:eastAsia="Nikosh" w:hAnsi="Kalpurush" w:cs="Kalpurush"/>
          <w:sz w:val="24"/>
          <w:szCs w:val="24"/>
          <w:cs/>
          <w:lang w:bidi="bn-BD"/>
        </w:rPr>
        <w:t>হাদীস</w:t>
      </w:r>
      <w:r w:rsidRPr="00BB263C">
        <w:rPr>
          <w:rFonts w:ascii="Kalpurush" w:eastAsia="Nikosh" w:hAnsi="Kalpurush" w:cs="Mangal"/>
          <w:sz w:val="24"/>
          <w:szCs w:val="24"/>
          <w:cs/>
          <w:lang w:bidi="hi-IN"/>
        </w:rPr>
        <w:t xml:space="preserve">। </w:t>
      </w:r>
      <w:r w:rsidRPr="00BB263C">
        <w:rPr>
          <w:rFonts w:ascii="Kalpurush" w:eastAsia="Nikosh" w:hAnsi="Kalpurush" w:cs="Vrinda"/>
          <w:sz w:val="24"/>
          <w:szCs w:val="24"/>
          <w:cs/>
          <w:lang w:bidi="bn-IN"/>
        </w:rPr>
        <w:t>যদি বিলম্ব করে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, তাহলে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ফিদিয়া ওয়াজিব হবে। প্রত্যেক দিনের জন্য একজন ফকিরকে খাদ্য প্রদান করতে হবে।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ইবন আব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বাস, ইবন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উ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ও আবু হুরায়রা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বর্ণিত, তারা জনৈক ব্যক্তির ব্যাপারে বলেছেন, যার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ছিল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সে পরবর্তী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 পর্যন্ত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নি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BB263C" w:rsidRPr="00BB263C" w:rsidRDefault="00BB263C" w:rsidP="00BB263C">
      <w:pPr>
        <w:bidi w:val="0"/>
        <w:spacing w:after="0" w:line="240" w:lineRule="auto"/>
        <w:jc w:val="right"/>
        <w:rPr>
          <w:rFonts w:ascii="Kalpurush" w:eastAsia="Times New Roman" w:hAnsi="Kalpurush" w:cs="KFGQPC Uthman Taha Naskh"/>
          <w:color w:val="333399"/>
          <w:sz w:val="24"/>
          <w:szCs w:val="24"/>
        </w:rPr>
      </w:pPr>
      <w:r w:rsidRPr="00BB263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عليه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القضاء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وإطعام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مسكين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لكلّ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B263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يوم</w:t>
      </w:r>
      <w:r w:rsidRPr="00BB263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BB263C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BB263C" w:rsidRPr="00BB263C" w:rsidRDefault="00BB263C" w:rsidP="009070BE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‘‘তার </w:t>
      </w:r>
      <w:r w:rsidR="009070BE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পর কা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প্রত্যেক দিনের জন্য একজন ফকিরকে খাদ্য দান করা ওয়াজিব।’’ আর বিলম্বের এ ফিদিয়া কা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পূর্বে, কা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পর ও কা</w:t>
      </w:r>
      <w:r w:rsidR="005768C1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সাথে যখন ইচ্ছা আদায় করা বৈধ।</w:t>
      </w:r>
    </w:p>
    <w:p w:rsidR="00BB263C" w:rsidRPr="00BB263C" w:rsidRDefault="00BB263C" w:rsidP="00BB263C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মিরদাবি হাম্বলী রহ. বলেছেন: ‘‘কাফ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ফা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রা পরিমাণ খাদ্য দান করবে।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পূর্বে,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সাথে ও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শেষে সর্বাবস্থায় তা আদায় করা বৈধ। </w:t>
      </w:r>
    </w:p>
    <w:p w:rsidR="00C90E54" w:rsidRPr="00BB263C" w:rsidRDefault="00BB263C" w:rsidP="00BB263C">
      <w:pPr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মাজদ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অর্থাৎ শাইখুল ইসলামের দাদা ইবন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তাইমি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য়্যাহ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রহ. বলেছেন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: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>র পূর্বে আদায় করাই আমাদের নিকট উত্তম।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দ্রুত কল্যাণ সম্পাদন করা ও 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B263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করার পাপ থেকে মুক্ত হওয়ার নিমিত্তে।’’ ইনসাফ: (৩/৩৩৩)</w:t>
      </w:r>
    </w:p>
    <w:p w:rsidR="002C2993" w:rsidRPr="00BB263C" w:rsidRDefault="002C2993" w:rsidP="00BB263C">
      <w:pPr>
        <w:bidi w:val="0"/>
        <w:spacing w:after="0"/>
        <w:ind w:firstLine="397"/>
        <w:jc w:val="both"/>
        <w:rPr>
          <w:rFonts w:asciiTheme="majorBidi" w:hAnsiTheme="majorBidi" w:cstheme="majorBidi"/>
          <w:sz w:val="24"/>
          <w:szCs w:val="24"/>
          <w:lang w:bidi="bn-BD"/>
        </w:rPr>
      </w:pPr>
    </w:p>
    <w:p w:rsidR="005666DC" w:rsidRPr="009070BE" w:rsidRDefault="00DC6A8E" w:rsidP="009070BE">
      <w:pPr>
        <w:tabs>
          <w:tab w:val="center" w:pos="4535"/>
        </w:tabs>
        <w:bidi w:val="0"/>
        <w:spacing w:after="0"/>
        <w:jc w:val="both"/>
        <w:rPr>
          <w:rFonts w:asciiTheme="majorBidi" w:hAnsiTheme="majorBidi" w:cs="Vrinda"/>
          <w:color w:val="006666"/>
          <w:sz w:val="24"/>
          <w:szCs w:val="30"/>
          <w:rtl/>
          <w:cs/>
          <w:lang w:bidi="bn-BD"/>
        </w:rPr>
      </w:pPr>
      <w:r w:rsidRPr="00BB263C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44487198" wp14:editId="2A3A9AE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9070B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382" w:rsidRDefault="00922382" w:rsidP="00E32771">
      <w:pPr>
        <w:spacing w:after="0" w:line="240" w:lineRule="auto"/>
      </w:pPr>
      <w:r>
        <w:separator/>
      </w:r>
    </w:p>
  </w:endnote>
  <w:endnote w:type="continuationSeparator" w:id="0">
    <w:p w:rsidR="00922382" w:rsidRDefault="0092238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68306A-1D87-4312-8637-839933C4DE37}"/>
    <w:embedBold r:id="rId2" w:fontKey="{6EF38BA6-4D7F-48B9-B114-F0445A0AB4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4A38BF-57A0-47DA-98BB-17C9881F93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47A8015-0169-4D58-B333-6740EEF52DF2}"/>
    <w:embedBold r:id="rId5" w:fontKey="{1EB684B3-4BA8-4638-925F-67BECD45E7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3CDDA13-2538-4555-86CE-364B539CC7B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2A8C05A8-4740-430E-BAD8-CC3129E8DCA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40D546B6-CE0D-44F7-9B85-BD39BCEFEAA8}"/>
    <w:embedBold r:id="rId9" w:fontKey="{4591B421-4A7E-44E2-89C5-01EA659158F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61C2E0A9-7AB9-4C20-837C-C8292F3A2100}"/>
    <w:embedBold r:id="rId11" w:fontKey="{E875AD66-3ADF-495B-BD31-E55C46409F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B2FCBCAC-96CF-4A3C-B7CA-3697AC0F82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66B5798-0B4D-474E-862A-A073FD15E4D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6E6ECD71-FBA9-4436-B6A2-8E7A02711238}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5" w:fontKey="{37007618-9336-4637-80FF-1C31E9DC1658}"/>
    <w:embedBold r:id="rId16" w:fontKey="{0DF23802-5F33-4F3C-99B7-BE130AD554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E0BA0489-560A-4025-9859-807AB750A8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E1AC25CA-4D89-4A1D-B587-3EFF17731A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F52CF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382" w:rsidRDefault="00922382" w:rsidP="00E32771">
      <w:pPr>
        <w:spacing w:after="0" w:line="240" w:lineRule="auto"/>
      </w:pPr>
      <w:r>
        <w:separator/>
      </w:r>
    </w:p>
  </w:footnote>
  <w:footnote w:type="continuationSeparator" w:id="0">
    <w:p w:rsidR="00922382" w:rsidRDefault="0092238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61530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B263C" w:rsidP="00BB263C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সম্পন্ন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পূর্বে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সিয়াম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বিলম্বিত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ফিদিয়া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আদায়</w:t>
                            </w:r>
                            <w:r w:rsidRPr="00BB263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B263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প্রসঙ্গ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9215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2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De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8XQTz3HW5xGh/hhpedkOod&#10;4S3SjdwToBSzC364kQpuGiB2U8wpOG3K64ZS09HqJCsq0AMGXa1rew4463QWZajPvSwOY7Mw49rc&#10;6K1tFIieNm3upb7+s9euQblipZmicENtGxyhDPxxwFiI1G69M3yUyzUvHwEvwa24IRhBY8PFFw/1&#10;IOzck5+3WBAP0V8ZYJ4FUaQ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615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B263C" w:rsidP="00BB263C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সম্পন্ন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পূর্বে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সিয়াম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বিলম্বিত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ফিদিয়া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আদায়</w:t>
                      </w:r>
                      <w:r w:rsidRPr="00BB263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B263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প্রসঙ্গ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9215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EC2E3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806E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5BC4A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3C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4F8A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768C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070BE"/>
    <w:rsid w:val="00912D68"/>
    <w:rsid w:val="00922382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215D"/>
    <w:rsid w:val="00B962D1"/>
    <w:rsid w:val="00BA456F"/>
    <w:rsid w:val="00BB263C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20BD4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92D1E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42A951-259D-4C23-AABD-696E96A5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BB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6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78D7A-E8A5-47B4-8412-42B7AE93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46</TotalTime>
  <Pages>3</Pages>
  <Words>471</Words>
  <Characters>2273</Characters>
  <Application>Microsoft Office Word</Application>
  <DocSecurity>0</DocSecurity>
  <Lines>59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কাযা সম্পন্ন করার পূর্বে সিয়াম বিলম্বিত করার ফিদিয়া আদায় প্রসঙ্গ</vt:lpstr>
      <vt:lpstr/>
    </vt:vector>
  </TitlesOfParts>
  <Manager/>
  <Company>islamhouse.com</Company>
  <LinksUpToDate>false</LinksUpToDate>
  <CharactersWithSpaces>2717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কাযা সম্পন্ন করার পূর্বে সিয়াম বিলম্বিত করার ফিদিয়া আদায় প্রসঙ্গ</dc:title>
  <dc:subject>কাযা সম্পন্ন করার পূর্বে সিয়াম বিলম্বিত করার ফিদিয়া আদায় প্রসঙ্গ</dc:subject>
  <dc:creator>ইসলাম কিউ, এ</dc:creator>
  <cp:keywords>কাযা সম্পন্ন করার পূর্বে সিয়াম বিলম্বিত করার ফিদিয়া আদায় প্রসঙ্গ</cp:keywords>
  <dc:description>কাযা সম্পন্ন করার পূর্বে সিয়াম বিলম্বিত করার ফিদিয়া আদায় প্রসঙ্গ</dc:description>
  <cp:lastModifiedBy>elhashemy</cp:lastModifiedBy>
  <cp:revision>4</cp:revision>
  <cp:lastPrinted>2015-03-07T18:24:00Z</cp:lastPrinted>
  <dcterms:created xsi:type="dcterms:W3CDTF">2015-10-04T11:43:00Z</dcterms:created>
  <dcterms:modified xsi:type="dcterms:W3CDTF">2015-12-02T14:02:00Z</dcterms:modified>
  <cp:category/>
</cp:coreProperties>
</file>