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E76B42" w:rsidRPr="00D3471F" w:rsidRDefault="00E76B42" w:rsidP="00E76B42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D3471F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LA LETTURA DI AL-FĀTIĤAH (L’APRENTE) DURANTE LA PREGHIERA</w:t>
      </w:r>
    </w:p>
    <w:p w:rsidR="00244087" w:rsidRPr="00D3471F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D3471F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FD1E49" w:rsidRPr="00D3471F" w:rsidRDefault="00244087" w:rsidP="00244087">
      <w:pPr>
        <w:jc w:val="center"/>
        <w:rPr>
          <w:rFonts w:ascii="Gotham Narrow Book" w:hAnsi="Gotham Narrow Book"/>
          <w:sz w:val="28"/>
          <w:szCs w:val="28"/>
          <w:lang w:val="it-IT"/>
        </w:rPr>
      </w:pPr>
      <w:r w:rsidRPr="00D3471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</w:t>
      </w:r>
      <w:r w:rsidRPr="00D3471F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D3471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</w:t>
      </w:r>
      <w:r w:rsidRPr="00D3471F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D3471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ay</w:t>
      </w:r>
      <w:r w:rsidRPr="00D3471F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kh</w:t>
      </w:r>
      <w:r w:rsidRPr="00D3471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Muĥammad Şāliĥ Al-Munajjid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D3471F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D3471F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B87ADE" w:rsidP="00D3471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D3471F" w:rsidRPr="00D3471F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A112A6" w:rsidP="00D3471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D3471F" w:rsidRPr="00D3471F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E76B42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قراءة الفاتحة في الصلاة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Pr="006D26A1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صالح المنجد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D3471F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D3471F" w:rsidRPr="00D3471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D3471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D3471F" w:rsidRPr="00D3471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D3471F" w:rsidRPr="00D3471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D3471F" w:rsidRPr="00D3471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D3471F" w:rsidRPr="00D3471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D3471F" w:rsidRPr="00D3471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-311150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E76B42" w:rsidRDefault="00E76B42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3" w:name="_Hlk481656827"/>
    </w:p>
    <w:p w:rsidR="00E76B42" w:rsidRPr="00CC4C26" w:rsidRDefault="00E76B42" w:rsidP="00E76B42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w w:val="90"/>
          <w:sz w:val="28"/>
          <w:szCs w:val="28"/>
          <w:u w:val="single"/>
          <w:lang w:val="it-IT" w:eastAsia="zh-CN" w:bidi="ar-SY"/>
        </w:rPr>
      </w:pPr>
      <w:r w:rsidRPr="00CC4C26">
        <w:rPr>
          <w:rFonts w:asciiTheme="majorBidi" w:eastAsia="Verdana" w:hAnsiTheme="majorBidi" w:cstheme="majorBidi"/>
          <w:color w:val="800000"/>
          <w:w w:val="90"/>
          <w:sz w:val="28"/>
          <w:szCs w:val="28"/>
          <w:u w:val="single"/>
          <w:lang w:val="it-IT" w:eastAsia="zh-CN" w:bidi="ar-SY"/>
        </w:rPr>
        <w:lastRenderedPageBreak/>
        <w:t xml:space="preserve">LA LETTURA DI </w:t>
      </w:r>
      <w:r w:rsidRPr="00CC4C26">
        <w:rPr>
          <w:rFonts w:asciiTheme="majorBidi" w:eastAsia="Verdana" w:hAnsiTheme="majorBidi" w:cstheme="majorBidi"/>
          <w:i/>
          <w:iCs/>
          <w:color w:val="800000"/>
          <w:w w:val="90"/>
          <w:sz w:val="28"/>
          <w:szCs w:val="28"/>
          <w:u w:val="single"/>
          <w:lang w:val="it-IT" w:eastAsia="zh-CN" w:bidi="ar-SY"/>
        </w:rPr>
        <w:t>AL-FĀTIĤAH</w:t>
      </w:r>
      <w:r w:rsidRPr="00CC4C26">
        <w:rPr>
          <w:rFonts w:asciiTheme="majorBidi" w:eastAsia="Verdana" w:hAnsiTheme="majorBidi" w:cstheme="majorBidi"/>
          <w:color w:val="800000"/>
          <w:w w:val="90"/>
          <w:sz w:val="28"/>
          <w:szCs w:val="28"/>
          <w:u w:val="single"/>
          <w:lang w:val="it-IT" w:eastAsia="zh-CN" w:bidi="ar-SY"/>
        </w:rPr>
        <w:t xml:space="preserve"> (L’APRENTE) DURANTE LA PREGHIERA</w:t>
      </w:r>
    </w:p>
    <w:p w:rsidR="00E76B42" w:rsidRDefault="00E76B42" w:rsidP="00E76B42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La mia domanda è relativa alla corretta maniera di eseguire le preghiere obbligatorie dietro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all’Imām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, e nello specifico alla recitazione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Al-Fātiĥah.</w:t>
      </w:r>
    </w:p>
    <w:p w:rsidR="00E76B42" w:rsidRDefault="00E76B42" w:rsidP="00E76B42">
      <w:pPr>
        <w:pStyle w:val="NormalWeb"/>
        <w:numPr>
          <w:ilvl w:val="0"/>
          <w:numId w:val="2"/>
        </w:numPr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È obbligatorio per noi recitare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Sūrat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Al-Fātiĥah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sottovoce mentre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l’Imām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la recita ad alta voce durante le prime due unità della preghiera obbligatoria? </w:t>
      </w:r>
    </w:p>
    <w:p w:rsidR="00E76B42" w:rsidRDefault="00E76B42" w:rsidP="00E76B42">
      <w:pPr>
        <w:pStyle w:val="NormalWeb"/>
        <w:numPr>
          <w:ilvl w:val="0"/>
          <w:numId w:val="2"/>
        </w:numPr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È obbligatorio per noi recitare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Sūrat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Al-Fātiĥah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nel medesimo contesto ma durante la terza e quarta unità, cioè quelle unità in cui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l’Imām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recita sottovoce?</w:t>
      </w:r>
    </w:p>
    <w:p w:rsidR="00E76B42" w:rsidRDefault="00E76B42" w:rsidP="00E76B42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La domanda è posta in seguito al desiderio della nostra comunità di quartiere di rettificare il metodo di preghiera. E la gente del quartiere è di due opinioni: l’una è che quando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l’Imām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guida la preghiera, sia che reciti ad alta voce (nella prima e seconda unità) o sottovoce (nella terza e quarta unità) noi dobbiamo solo rimanere in ascolto; altri invece sostengono che in mancanza della recitazione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Sūrat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br/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Al-Fātiĥah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, che venga o meno recitata dall’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Imām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, la preghiera è invalida.  Desidererei che ci indicaste ciò che è corretto adducendo quante più prove possibile.</w:t>
      </w:r>
    </w:p>
    <w:p w:rsidR="00E76B42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E76B42">
        <w:rPr>
          <w:rFonts w:asciiTheme="majorBidi" w:hAnsiTheme="majorBidi" w:cstheme="majorBidi"/>
          <w:sz w:val="28"/>
          <w:szCs w:val="28"/>
          <w:lang w:val="it-IT"/>
        </w:rPr>
        <w:t>La lode a Iddio.</w:t>
      </w:r>
    </w:p>
    <w:p w:rsidR="00F22535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rtl/>
          <w:lang w:val="it-IT"/>
        </w:rPr>
      </w:pPr>
      <w:r w:rsidRPr="00E76B42">
        <w:rPr>
          <w:rFonts w:asciiTheme="majorBidi" w:hAnsiTheme="majorBidi" w:cstheme="majorBidi"/>
          <w:sz w:val="28"/>
          <w:szCs w:val="28"/>
          <w:lang w:val="it-IT"/>
        </w:rPr>
        <w:t xml:space="preserve">La recitazione di </w:t>
      </w:r>
      <w:r w:rsidRPr="00E76B42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E76B42">
        <w:rPr>
          <w:rFonts w:asciiTheme="majorBidi" w:hAnsiTheme="majorBidi" w:cstheme="majorBidi"/>
          <w:sz w:val="28"/>
          <w:szCs w:val="28"/>
          <w:lang w:val="it-IT"/>
        </w:rPr>
        <w:t xml:space="preserve"> costituisce uno dei pilastri della preghiera da applicare in ogni unità sia dall’</w:t>
      </w:r>
      <w:r w:rsidRPr="00E76B42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E76B42">
        <w:rPr>
          <w:rFonts w:asciiTheme="majorBidi" w:hAnsiTheme="majorBidi" w:cstheme="majorBidi"/>
          <w:sz w:val="28"/>
          <w:szCs w:val="28"/>
          <w:lang w:val="it-IT"/>
        </w:rPr>
        <w:t xml:space="preserve"> sia dal singolo, per detto del Profeta </w:t>
      </w:r>
      <w:r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rtl/>
        </w:rPr>
        <w:t>ﷺ</w:t>
      </w:r>
      <w:r w:rsidRPr="00E76B42">
        <w:rPr>
          <w:rFonts w:asciiTheme="majorBidi" w:hAnsiTheme="majorBidi" w:cstheme="majorBidi"/>
          <w:sz w:val="28"/>
          <w:szCs w:val="28"/>
          <w:lang w:val="it-IT"/>
        </w:rPr>
        <w:t>: “</w:t>
      </w:r>
      <w:r w:rsidRPr="00E76B42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Non v’è preghiera per colui che non recita l’Aprente della Scrittura</w:t>
      </w:r>
      <w:r w:rsidR="006867C1">
        <w:rPr>
          <w:rFonts w:asciiTheme="majorBidi" w:hAnsiTheme="majorBidi" w:cstheme="majorBidi"/>
          <w:sz w:val="28"/>
          <w:szCs w:val="28"/>
          <w:lang w:val="it-IT"/>
        </w:rPr>
        <w:t xml:space="preserve">”. </w:t>
      </w:r>
    </w:p>
    <w:p w:rsidR="00E76B42" w:rsidRPr="006867C1" w:rsidRDefault="00E76B42" w:rsidP="00F22535">
      <w:pPr>
        <w:bidi w:val="0"/>
        <w:spacing w:line="256" w:lineRule="auto"/>
        <w:jc w:val="both"/>
        <w:rPr>
          <w:rFonts w:asciiTheme="majorBidi" w:hAnsiTheme="majorBidi" w:cstheme="majorBidi"/>
          <w:sz w:val="20"/>
          <w:szCs w:val="20"/>
          <w:lang w:val="it-IT"/>
        </w:rPr>
      </w:pPr>
      <w:r w:rsidRPr="006867C1">
        <w:rPr>
          <w:rFonts w:asciiTheme="majorBidi" w:hAnsiTheme="majorBidi" w:cstheme="majorBidi"/>
          <w:sz w:val="20"/>
          <w:szCs w:val="20"/>
          <w:lang w:val="it-IT"/>
        </w:rPr>
        <w:t>[Al-Bu</w:t>
      </w:r>
      <w:r w:rsidRPr="006867C1">
        <w:rPr>
          <w:rFonts w:asciiTheme="majorBidi" w:hAnsiTheme="majorBidi" w:cstheme="majorBidi"/>
          <w:sz w:val="20"/>
          <w:szCs w:val="20"/>
          <w:u w:val="single"/>
          <w:lang w:val="it-IT"/>
        </w:rPr>
        <w:t>kh</w:t>
      </w:r>
      <w:r w:rsidRPr="006867C1">
        <w:rPr>
          <w:rFonts w:asciiTheme="majorBidi" w:hAnsiTheme="majorBidi" w:cstheme="majorBidi"/>
          <w:sz w:val="20"/>
          <w:szCs w:val="20"/>
          <w:lang w:val="it-IT"/>
        </w:rPr>
        <w:t>ārī, 714].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Riguardo alla recitazione di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di colui che segue 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Imām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durante la preghiera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Jahrīyyah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(ovvero quella nella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lastRenderedPageBreak/>
        <w:t>quale il Corano viene recitato ad alta voce) esistono due opinioni sapienziali: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La prima opinione è che sia obbligatoria, e come prova v’è il significato generale del detto del Profeta </w:t>
      </w:r>
      <w:r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rtl/>
        </w:rPr>
        <w:t>ﷺ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: “</w:t>
      </w:r>
      <w:r w:rsidRPr="00D3471F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Non v’è preghiera per colui che non recita l’Aprente della Scrittura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”; inoltre l’insegnamento del Profeta </w:t>
      </w:r>
      <w:r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rtl/>
        </w:rPr>
        <w:t>ﷺ</w:t>
      </w:r>
      <w:r>
        <w:rPr>
          <w:rFonts w:asciiTheme="majorBidi" w:hAnsiTheme="majorBidi" w:cs="Arial Unicode MS"/>
          <w:sz w:val="28"/>
          <w:szCs w:val="28"/>
          <w:rtl/>
        </w:rPr>
        <w:t xml:space="preserve">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a colui che non aveva pregato correttamente, al quale ordinò di recitare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.</w:t>
      </w:r>
    </w:p>
    <w:p w:rsidR="00E76B42" w:rsidRPr="00D3471F" w:rsidRDefault="00E76B42" w:rsidP="0009099C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È stato trasmesso in una narrazione autentica che il Profeta </w:t>
      </w:r>
      <w:r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rtl/>
        </w:rPr>
        <w:t>ﷺ</w:t>
      </w:r>
      <w:r>
        <w:rPr>
          <w:rFonts w:asciiTheme="majorBidi" w:hAnsiTheme="majorBidi" w:cs="Arial Unicode MS"/>
          <w:sz w:val="28"/>
          <w:szCs w:val="28"/>
          <w:rtl/>
        </w:rPr>
        <w:t xml:space="preserve">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soleva recitarla in ogni unità.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Al-ĥāfi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z̧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 Ibn Ĥajar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disse in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Fatĥ Al-Bārī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”: “Invero è comprovato il permesso per colui il quale prega dietro un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(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al-ma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῾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mūm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) di recitare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durante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</w:t>
      </w:r>
      <w:r w:rsidR="0009099C">
        <w:rPr>
          <w:rFonts w:asciiTheme="majorBidi" w:hAnsiTheme="majorBidi" w:cstheme="majorBidi"/>
          <w:i/>
          <w:iCs/>
          <w:sz w:val="28"/>
          <w:szCs w:val="28"/>
          <w:lang w:val="it-IT"/>
        </w:rPr>
        <w:t>l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-Jahrīyyah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(la preghiera ad alta voce), senza vincolo. Questo è quanto è stato trasmesso da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-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Bu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kh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ārī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in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Juz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῾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-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Qirā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 e da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At-Tirmi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dh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,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Ibn Ĥibbān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e altri, da ciò che ha riferito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Makĥūl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, da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Maĥmūd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Ibn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="00906DC9">
        <w:rPr>
          <w:rFonts w:asciiTheme="majorBidi" w:hAnsiTheme="majorBidi" w:cstheme="majorBidi"/>
          <w:sz w:val="28"/>
          <w:szCs w:val="28"/>
          <w:lang w:val="it-IT"/>
        </w:rPr>
        <w:br/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Ar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-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Rabī</w:t>
      </w:r>
      <w:r>
        <w:rPr>
          <w:rFonts w:asciiTheme="majorBidi" w:hAnsiTheme="majorBidi" w:cstheme="majorBidi"/>
          <w:i/>
          <w:iCs/>
          <w:sz w:val="28"/>
          <w:szCs w:val="28"/>
        </w:rPr>
        <w:t>᾿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e da </w:t>
      </w:r>
      <w:r>
        <w:rPr>
          <w:rFonts w:asciiTheme="majorBidi" w:hAnsiTheme="majorBidi" w:cstheme="majorBidi"/>
          <w:i/>
          <w:iCs/>
          <w:sz w:val="28"/>
          <w:szCs w:val="28"/>
        </w:rPr>
        <w:t>᾿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Ubādah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che al Profeta </w:t>
      </w:r>
      <w:r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rtl/>
        </w:rPr>
        <w:t>ﷺ</w:t>
      </w:r>
      <w:r w:rsidR="0009099C" w:rsidRPr="0009099C">
        <w:rPr>
          <w:rFonts w:asciiTheme="majorBidi" w:hAnsiTheme="majorBidi" w:cs="Arial Unicode MS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si appesantì la recitazione nel[la preghiera de] l’Alba (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Fajr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), e quando terminò chiese: “</w:t>
      </w:r>
      <w:r w:rsidRPr="00D3471F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Recitate forse dietro il vostro 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?”. Rispondemmo: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Sì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”. Disse: “</w:t>
      </w:r>
      <w:r w:rsidRPr="00D3471F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Non lo fate, se non per l’Aprente della Scrittura, ché non v’è preghiera per colui che non la recita.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”. </w:t>
      </w:r>
      <w:r w:rsidRPr="00D3471F">
        <w:rPr>
          <w:rFonts w:asciiTheme="majorBidi" w:hAnsiTheme="majorBidi" w:cstheme="majorBidi"/>
          <w:lang w:val="it-IT"/>
        </w:rPr>
        <w:t>[Fine della citazione].</w:t>
      </w:r>
    </w:p>
    <w:p w:rsidR="00E76B42" w:rsidRPr="00D3471F" w:rsidRDefault="00E76B42" w:rsidP="002A50A9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>La seconda opinione è che la recitazione dell’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vale per la recitazione di colui che gli prega dietro. La prova di questo si trova nel detto di Iddio l’Elevato: </w:t>
      </w:r>
      <w:r w:rsidRPr="00D3471F">
        <w:rPr>
          <w:rFonts w:asciiTheme="majorBidi" w:hAnsiTheme="majorBidi" w:cstheme="majorBidi"/>
          <w:b/>
          <w:bCs/>
          <w:sz w:val="28"/>
          <w:szCs w:val="28"/>
          <w:lang w:val="it-IT"/>
        </w:rPr>
        <w:t>{E quando viene recitato il Corano, udite e prestate ascolto, ché vi sia fatta misericordia}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. </w:t>
      </w:r>
      <w:r w:rsidRPr="00D3471F">
        <w:rPr>
          <w:rFonts w:asciiTheme="majorBidi" w:hAnsiTheme="majorBidi" w:cstheme="majorBidi"/>
          <w:lang w:val="it-IT"/>
        </w:rPr>
        <w:t>[Al-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D3471F">
        <w:rPr>
          <w:rFonts w:asciiTheme="majorBidi" w:hAnsiTheme="majorBidi" w:cstheme="majorBidi"/>
          <w:lang w:val="it-IT"/>
        </w:rPr>
        <w:t xml:space="preserve">Arāf 7:204].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Ibn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Ĥajar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disse: “[...] e coloro che ne hanno fatto decadere [l’obbligo di recitazione] per lui (cioè colui che prega dietro 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) nella preghiera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Jahrīyyah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(ad alta voce), come i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Mālikiti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, citano come prova il detto: </w:t>
      </w:r>
      <w:r w:rsidRPr="00D3471F">
        <w:rPr>
          <w:rFonts w:asciiTheme="majorBidi" w:hAnsiTheme="majorBidi" w:cstheme="majorBidi"/>
          <w:b/>
          <w:bCs/>
          <w:sz w:val="28"/>
          <w:szCs w:val="28"/>
          <w:lang w:val="it-IT"/>
        </w:rPr>
        <w:t xml:space="preserve">{[…] e quando recita allora </w:t>
      </w:r>
      <w:r w:rsidRPr="00D3471F">
        <w:rPr>
          <w:rFonts w:asciiTheme="majorBidi" w:hAnsiTheme="majorBidi" w:cstheme="majorBidi"/>
          <w:b/>
          <w:bCs/>
          <w:sz w:val="28"/>
          <w:szCs w:val="28"/>
          <w:lang w:val="it-IT"/>
        </w:rPr>
        <w:lastRenderedPageBreak/>
        <w:t>prestate ascolto}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. Questo è un detto autentico che è stato trasmesso da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Muslim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da </w:t>
      </w:r>
      <w:r w:rsidR="00906DC9" w:rsidRPr="00906DC9">
        <w:rPr>
          <w:rFonts w:asciiTheme="majorBidi" w:hAnsiTheme="majorBidi" w:cstheme="majorBidi"/>
          <w:i/>
          <w:iCs/>
          <w:sz w:val="28"/>
          <w:szCs w:val="28"/>
          <w:lang w:val="it-IT"/>
        </w:rPr>
        <w:t>al-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ĥadī</w:t>
      </w:r>
      <w:r w:rsidRPr="00906DC9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th</w:t>
      </w:r>
      <w:r w:rsidRPr="00906DC9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Abu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Mūsā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Al-‘A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ar</w:t>
      </w:r>
      <w:r w:rsidR="002A50A9" w:rsidRPr="002A50A9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”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. 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>Coloro invece che ne sostengono l’obbligatorietà, dicono che va recitata dopo che 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abbia terminato la recitazione di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e prima che inizi a recitare un’altra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Sūrah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, o che dev’essere recitata durante i silenzi dell’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.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Ibn Ĥajar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disse: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Presta ascolto quando l’Imām recita, e recita quando tace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”.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-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ay</w:t>
      </w:r>
      <w:r w:rsidRPr="00D3471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kh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 Ibn Bāz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disse: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Ciò che si intende per “silenzi dell’Imām” è qualunque silenzio da parte dell’Imām, durante Al-Fātiĥah o dopo averla recitata, o nella Sūrah che recita in seguito ad essa; se l’imam non tace, allora che reciti Al-Fātiĥah colui che sta pregando dietro di lui, anche se l’Imām è in recitazione, secondo la più corretta delle due opinioni sapienziali.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 </w:t>
      </w:r>
      <w:r w:rsidRPr="00D3471F">
        <w:rPr>
          <w:rFonts w:asciiTheme="majorBidi" w:hAnsiTheme="majorBidi" w:cstheme="majorBidi"/>
          <w:lang w:val="it-IT"/>
        </w:rPr>
        <w:t>[Vedi “</w:t>
      </w:r>
      <w:r w:rsidRPr="00D3471F">
        <w:rPr>
          <w:rFonts w:asciiTheme="majorBidi" w:hAnsiTheme="majorBidi" w:cstheme="majorBidi"/>
          <w:i/>
          <w:iCs/>
          <w:lang w:val="it-IT"/>
        </w:rPr>
        <w:t>Fatāwā A</w:t>
      </w:r>
      <w:r w:rsidRPr="00D3471F">
        <w:rPr>
          <w:rFonts w:asciiTheme="majorBidi" w:hAnsiTheme="majorBidi" w:cstheme="majorBidi"/>
          <w:i/>
          <w:iCs/>
          <w:u w:val="single"/>
          <w:lang w:val="it-IT"/>
        </w:rPr>
        <w:t>sh</w:t>
      </w:r>
      <w:r w:rsidRPr="00D3471F">
        <w:rPr>
          <w:rFonts w:asciiTheme="majorBidi" w:hAnsiTheme="majorBidi" w:cstheme="majorBidi"/>
          <w:i/>
          <w:iCs/>
          <w:lang w:val="it-IT"/>
        </w:rPr>
        <w:t>-</w:t>
      </w:r>
      <w:r w:rsidRPr="00D3471F">
        <w:rPr>
          <w:rFonts w:asciiTheme="majorBidi" w:hAnsiTheme="majorBidi" w:cstheme="majorBidi"/>
          <w:i/>
          <w:iCs/>
          <w:u w:val="single"/>
          <w:lang w:val="it-IT"/>
        </w:rPr>
        <w:t>Sh</w:t>
      </w:r>
      <w:r w:rsidRPr="00D3471F">
        <w:rPr>
          <w:rFonts w:asciiTheme="majorBidi" w:hAnsiTheme="majorBidi" w:cstheme="majorBidi"/>
          <w:i/>
          <w:iCs/>
          <w:lang w:val="it-IT"/>
        </w:rPr>
        <w:t>ay</w:t>
      </w:r>
      <w:r w:rsidRPr="00D3471F">
        <w:rPr>
          <w:rFonts w:asciiTheme="majorBidi" w:hAnsiTheme="majorBidi" w:cstheme="majorBidi"/>
          <w:i/>
          <w:iCs/>
          <w:u w:val="single"/>
          <w:lang w:val="it-IT"/>
        </w:rPr>
        <w:t>kh</w:t>
      </w:r>
      <w:r w:rsidRPr="00D3471F">
        <w:rPr>
          <w:rFonts w:asciiTheme="majorBidi" w:hAnsiTheme="majorBidi" w:cstheme="majorBidi"/>
          <w:i/>
          <w:iCs/>
          <w:lang w:val="it-IT"/>
        </w:rPr>
        <w:t xml:space="preserve"> Ibn Bāz</w:t>
      </w:r>
      <w:r w:rsidRPr="00D3471F">
        <w:rPr>
          <w:rFonts w:asciiTheme="majorBidi" w:hAnsiTheme="majorBidi" w:cstheme="majorBidi"/>
          <w:lang w:val="it-IT"/>
        </w:rPr>
        <w:t>”, (11/221)]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La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Commissione Permanente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(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Al-Lajnah Ad-Dā</w:t>
      </w:r>
      <w:r>
        <w:rPr>
          <w:rFonts w:asciiTheme="majorBidi" w:hAnsiTheme="majorBidi" w:cstheme="majorBidi"/>
          <w:i/>
          <w:iCs/>
          <w:sz w:val="28"/>
          <w:szCs w:val="28"/>
        </w:rPr>
        <w:t>῾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) è stata interrogata su una questione è simile e ha risposto come segue:</w:t>
      </w:r>
    </w:p>
    <w:p w:rsidR="009350C8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“L’opinione sapienziale corretta è che sia obbligatorio recitare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Al-Fātiĥah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per il singolo, 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e colui che prega dietro a lui (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ma</w:t>
      </w:r>
      <w:r>
        <w:rPr>
          <w:rFonts w:asciiTheme="majorBidi" w:hAnsiTheme="majorBidi" w:cstheme="majorBidi"/>
          <w:i/>
          <w:iCs/>
          <w:sz w:val="28"/>
          <w:szCs w:val="28"/>
        </w:rPr>
        <w:t>῾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mūm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), sia nelle preghiere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Jahrīyyah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(ad alta voce) sia in quelle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Sirrīah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(sottovoce), e ciò per l’autenticità delle prove e la loro particolarità a riguardo, mentre il versetto: </w:t>
      </w:r>
      <w:r w:rsidRPr="00D3471F">
        <w:rPr>
          <w:rFonts w:asciiTheme="majorBidi" w:hAnsiTheme="majorBidi" w:cstheme="majorBidi"/>
          <w:b/>
          <w:bCs/>
          <w:sz w:val="28"/>
          <w:szCs w:val="28"/>
          <w:lang w:val="it-IT"/>
        </w:rPr>
        <w:t xml:space="preserve">{E quando viene recitato il Corano, udite e prestate ascolto, ché vi sia fatta misericordia} </w:t>
      </w:r>
      <w:r w:rsidRPr="00D3471F">
        <w:rPr>
          <w:rFonts w:asciiTheme="majorBidi" w:hAnsiTheme="majorBidi" w:cstheme="majorBidi"/>
          <w:lang w:val="it-IT"/>
        </w:rPr>
        <w:t>[Al-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D3471F">
        <w:rPr>
          <w:rFonts w:asciiTheme="majorBidi" w:hAnsiTheme="majorBidi" w:cstheme="majorBidi"/>
          <w:lang w:val="it-IT"/>
        </w:rPr>
        <w:t xml:space="preserve">Arāf 7:204]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è generale, e lo stesso il detto del Profeta </w:t>
      </w:r>
      <w:r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rtl/>
        </w:rPr>
        <w:t>ﷺ</w:t>
      </w:r>
      <w:r w:rsidRPr="00D3471F">
        <w:rPr>
          <w:rFonts w:ascii="Arial Unicode MS" w:hAnsi="Arial Unicode MS" w:cs="Arial Unicode MS" w:hint="eastAsia"/>
          <w:color w:val="1D2129"/>
          <w:sz w:val="21"/>
          <w:szCs w:val="21"/>
          <w:shd w:val="clear" w:color="auto" w:fill="FFFFFF"/>
          <w:lang w:val="it-IT"/>
        </w:rPr>
        <w:t>: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“</w:t>
      </w:r>
      <w:r w:rsidRPr="00D3471F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Quando viene recitato il Corano, allora prestate ascolto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 è generale per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come per le altre sure, pertanto si renderanno specifici entrambi per mezzo del </w:t>
      </w:r>
      <w:r w:rsidRPr="00D3471F">
        <w:rPr>
          <w:rFonts w:asciiTheme="majorBidi" w:hAnsiTheme="majorBidi" w:cstheme="majorBidi"/>
          <w:iCs/>
          <w:sz w:val="28"/>
          <w:szCs w:val="28"/>
          <w:lang w:val="it-IT"/>
        </w:rPr>
        <w:t>detto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: “</w:t>
      </w:r>
      <w:r w:rsidRPr="00D3471F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Non v’è preghiera per chi non recita l’Aprente della Scrittura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”, in conciliazione tra le prove solide. </w:t>
      </w:r>
    </w:p>
    <w:p w:rsidR="00E76B42" w:rsidRPr="00D3471F" w:rsidRDefault="00E76B42" w:rsidP="009350C8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lastRenderedPageBreak/>
        <w:t>Il detto: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Chi dovesse avere un Imām, allora la recitazione dell’Imām è per lui recitazione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” è invece debole (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ḑa</w:t>
      </w:r>
      <w:r>
        <w:rPr>
          <w:rFonts w:asciiTheme="majorBidi" w:hAnsiTheme="majorBidi" w:cstheme="majorBidi"/>
          <w:i/>
          <w:iCs/>
          <w:sz w:val="28"/>
          <w:szCs w:val="28"/>
        </w:rPr>
        <w:t>᾿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īf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). Inoltre non è corretto ciò che viene sostenuto da alcuni: che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Ta</w:t>
      </w:r>
      <w:r>
        <w:rPr>
          <w:rFonts w:asciiTheme="majorBidi" w:hAnsiTheme="majorBidi" w:cstheme="majorBidi"/>
          <w:i/>
          <w:iCs/>
          <w:sz w:val="28"/>
          <w:szCs w:val="28"/>
        </w:rPr>
        <w:t>῾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mīn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(cioè il dire “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Amīn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”) della congregazione alla recitazione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dell’Imām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di</w:t>
      </w:r>
      <w:r w:rsidR="009350C8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sostituirebbe la loro recitazione della stessa.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>Occorre che non facciate del disaccordo tra i sapienti in merito a questa questione motivo di odio, divisione o opposizione. Piuttosto, è necessario da parte vostra più studio, lettura e ricerca scientifica. E se qualcuno di voi segue un sapiente che sostiene che chi preghi dietro 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debba recitare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nelle preghiere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Jahrīyyah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(ad alta voce) e altri seguono un sapiente che sostiene che debbano invece prestare ascolto all’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nelle preghiere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Jahrīyyah 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(ad alta voce), e che sia sufficiente la recitazione dell’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Imām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 di </w:t>
      </w:r>
      <w:r w:rsidRPr="00D3471F">
        <w:rPr>
          <w:rFonts w:asciiTheme="majorBidi" w:hAnsiTheme="majorBidi" w:cstheme="majorBidi"/>
          <w:i/>
          <w:iCs/>
          <w:sz w:val="28"/>
          <w:szCs w:val="28"/>
          <w:lang w:val="it-IT"/>
        </w:rPr>
        <w:t>Al-Fātiĥah</w:t>
      </w:r>
      <w:r w:rsidRPr="00D3471F">
        <w:rPr>
          <w:rFonts w:asciiTheme="majorBidi" w:hAnsiTheme="majorBidi" w:cstheme="majorBidi"/>
          <w:sz w:val="28"/>
          <w:szCs w:val="28"/>
          <w:lang w:val="it-IT"/>
        </w:rPr>
        <w:t>, non c’è nulla di male in ciò e non c’è alcun bisogno che un gruppo attacchi l’altro, e nemmeno che si odino a causa di ciò.</w:t>
      </w:r>
    </w:p>
    <w:p w:rsidR="009350C8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 xml:space="preserve">Devono invece essere tolleranti di fronte ai disaccordi tra sapienti e alle ragioni di ciò, e domandare a Iddio di guidarli alla verità in ciò in cui si è verificato disaccordo, e invero Egli è l’Audiente, Colui che risponde all’invocazione. </w:t>
      </w:r>
    </w:p>
    <w:p w:rsidR="00E76B42" w:rsidRPr="00D3471F" w:rsidRDefault="00E76B42" w:rsidP="009350C8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D3471F">
        <w:rPr>
          <w:rFonts w:asciiTheme="majorBidi" w:hAnsiTheme="majorBidi" w:cstheme="majorBidi"/>
          <w:sz w:val="28"/>
          <w:szCs w:val="28"/>
          <w:lang w:val="it-IT"/>
        </w:rPr>
        <w:t>Che Iddio elogi il nostro Profeta Muĥammad”.</w:t>
      </w:r>
    </w:p>
    <w:p w:rsidR="00E76B42" w:rsidRPr="00D3471F" w:rsidRDefault="00E76B42" w:rsidP="00E76B42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</w:p>
    <w:p w:rsidR="00CA5FDC" w:rsidRPr="00CA5FDC" w:rsidRDefault="00E76B42" w:rsidP="00E76B42">
      <w:pPr>
        <w:spacing w:line="240" w:lineRule="auto"/>
        <w:jc w:val="right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 w:rsidRPr="00D3471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D3471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D3471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D3471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D3471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D3471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D3471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Al-Munajjid.</w:t>
      </w:r>
    </w:p>
    <w:bookmarkEnd w:id="3"/>
    <w:p w:rsidR="00FD1E49" w:rsidRPr="00CA5FDC" w:rsidRDefault="00FD1E49" w:rsidP="00FD1E49">
      <w:pPr>
        <w:tabs>
          <w:tab w:val="left" w:pos="2910"/>
        </w:tabs>
        <w:bidi w:val="0"/>
        <w:rPr>
          <w:rFonts w:ascii="Arial" w:hAnsi="Arial" w:cs="Arial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7C1" w:rsidRDefault="00D877C1" w:rsidP="00E32771">
      <w:pPr>
        <w:spacing w:after="0" w:line="240" w:lineRule="auto"/>
      </w:pPr>
      <w:r>
        <w:separator/>
      </w:r>
    </w:p>
  </w:endnote>
  <w:endnote w:type="continuationSeparator" w:id="0">
    <w:p w:rsidR="00D877C1" w:rsidRDefault="00D877C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9E2B71A-F066-4B88-9FB3-40AC543A1E7F}"/>
    <w:embedBold r:id="rId2" w:fontKey="{2690C0AC-61A9-4A72-865C-C827F5B616F9}"/>
    <w:embedItalic r:id="rId3" w:fontKey="{1B24C855-08CD-4238-B65F-E384600AC0E3}"/>
    <w:embedBoldItalic r:id="rId4" w:fontKey="{4892400D-B528-4DC5-8FCF-7CB8E3E60A2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3FF2D191-9F20-4CFB-A743-6C75D100F33A}"/>
    <w:embedBold r:id="rId6" w:fontKey="{32473521-4A58-4176-9810-FB5ADB81831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2CADC42E-AB85-4B6A-B387-9B6C5E779C56}"/>
    <w:embedBold r:id="rId8" w:fontKey="{011700C4-7C84-4B26-BD81-91E7CC275BD2}"/>
    <w:embedItalic r:id="rId9" w:fontKey="{421041A9-7CBD-4E73-88DF-FB006BCC378A}"/>
    <w:embedBoldItalic r:id="rId10" w:fontKey="{C81388F1-62BD-4A49-9344-B4F790FE8BB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8C95CB88-D740-44C0-A778-76D345CE3CBF}"/>
    <w:embedBold r:id="rId12" w:fontKey="{438B34E2-6F42-4750-9E64-BC8395E71A7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7A0D8260-95B2-475C-BEB5-669D70668F02}"/>
    <w:embedItalic r:id="rId14" w:fontKey="{37EA8A9A-2D16-4CFF-A09F-B7826F1CF923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8656CF49-4717-4583-AD08-5150B6416FF6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764B3C1C-088B-49E5-9D75-EEAC88A1D9C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930CAE6B-AB8D-4AF9-B6FA-F7A9A0B2C906}"/>
    <w:embedBold r:id="rId18" w:fontKey="{168B8572-CCE8-44AC-8A46-05B2AB60396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87F25587-5E3F-4B81-8003-2729E7791F4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9539977D-0E1F-402A-B6D1-DAC23E8EF663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1" w:fontKey="{F92748E5-2802-422B-9B5E-A4C16FF3D46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1D221ADB-292A-4D07-8468-5DA117D87EF1}"/>
    <w:embedBold r:id="rId23" w:fontKey="{448F1B3E-3C56-464A-8664-42EE5689D83E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4" w:fontKey="{4F850510-5B61-4AA7-A037-43FA35A3334B}"/>
    <w:embedBold r:id="rId25" w:fontKey="{EC34FF67-67E8-4ED9-BA2A-0247E939D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A112A6">
          <w:rPr>
            <w:noProof/>
            <w:sz w:val="28"/>
            <w:szCs w:val="28"/>
          </w:rPr>
          <w:t>4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7C1" w:rsidRDefault="00D877C1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D877C1" w:rsidRDefault="00D877C1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D877C1" w:rsidRDefault="00D877C1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C4A53"/>
    <w:multiLevelType w:val="hybridMultilevel"/>
    <w:tmpl w:val="351CD12E"/>
    <w:lvl w:ilvl="0" w:tplc="6DDAACB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9099C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44087"/>
    <w:rsid w:val="00267C61"/>
    <w:rsid w:val="00270AE8"/>
    <w:rsid w:val="002A50A9"/>
    <w:rsid w:val="002B2FF1"/>
    <w:rsid w:val="002B662B"/>
    <w:rsid w:val="002C09FA"/>
    <w:rsid w:val="003072B2"/>
    <w:rsid w:val="00317B3C"/>
    <w:rsid w:val="003238D3"/>
    <w:rsid w:val="00324177"/>
    <w:rsid w:val="00347608"/>
    <w:rsid w:val="00357B1F"/>
    <w:rsid w:val="00372A0D"/>
    <w:rsid w:val="003906F7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60157E"/>
    <w:rsid w:val="00626D06"/>
    <w:rsid w:val="00662A2B"/>
    <w:rsid w:val="006867C1"/>
    <w:rsid w:val="0069533C"/>
    <w:rsid w:val="006B4F4B"/>
    <w:rsid w:val="006B79D2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06DC9"/>
    <w:rsid w:val="00910AF4"/>
    <w:rsid w:val="009350C8"/>
    <w:rsid w:val="00944C90"/>
    <w:rsid w:val="0097058E"/>
    <w:rsid w:val="009967F9"/>
    <w:rsid w:val="00A01295"/>
    <w:rsid w:val="00A021C5"/>
    <w:rsid w:val="00A052E1"/>
    <w:rsid w:val="00A0781B"/>
    <w:rsid w:val="00A112A6"/>
    <w:rsid w:val="00A26C77"/>
    <w:rsid w:val="00A465D1"/>
    <w:rsid w:val="00A507EE"/>
    <w:rsid w:val="00A61E5C"/>
    <w:rsid w:val="00B04BE4"/>
    <w:rsid w:val="00B21534"/>
    <w:rsid w:val="00B3510F"/>
    <w:rsid w:val="00B50A3A"/>
    <w:rsid w:val="00B71399"/>
    <w:rsid w:val="00B820AA"/>
    <w:rsid w:val="00B87ADE"/>
    <w:rsid w:val="00BA456F"/>
    <w:rsid w:val="00BD190F"/>
    <w:rsid w:val="00BF04A9"/>
    <w:rsid w:val="00C03201"/>
    <w:rsid w:val="00C10E38"/>
    <w:rsid w:val="00C31855"/>
    <w:rsid w:val="00C37C22"/>
    <w:rsid w:val="00C408EE"/>
    <w:rsid w:val="00C72BD4"/>
    <w:rsid w:val="00CA5FDC"/>
    <w:rsid w:val="00CC4C26"/>
    <w:rsid w:val="00CD4735"/>
    <w:rsid w:val="00CE6030"/>
    <w:rsid w:val="00CF693B"/>
    <w:rsid w:val="00CF6C11"/>
    <w:rsid w:val="00D06CFA"/>
    <w:rsid w:val="00D15CF7"/>
    <w:rsid w:val="00D2227B"/>
    <w:rsid w:val="00D3471F"/>
    <w:rsid w:val="00D46176"/>
    <w:rsid w:val="00D849A2"/>
    <w:rsid w:val="00D85A5F"/>
    <w:rsid w:val="00D877C1"/>
    <w:rsid w:val="00DA3EF4"/>
    <w:rsid w:val="00DA5D93"/>
    <w:rsid w:val="00DC6A8E"/>
    <w:rsid w:val="00DE5862"/>
    <w:rsid w:val="00E25D4B"/>
    <w:rsid w:val="00E32771"/>
    <w:rsid w:val="00E3745F"/>
    <w:rsid w:val="00E5682B"/>
    <w:rsid w:val="00E710AA"/>
    <w:rsid w:val="00E76B42"/>
    <w:rsid w:val="00EB6A67"/>
    <w:rsid w:val="00EE5A20"/>
    <w:rsid w:val="00EE70E3"/>
    <w:rsid w:val="00F22535"/>
    <w:rsid w:val="00F2420A"/>
    <w:rsid w:val="00F2570D"/>
    <w:rsid w:val="00F3173B"/>
    <w:rsid w:val="00F36FFF"/>
    <w:rsid w:val="00F80820"/>
    <w:rsid w:val="00FB3E88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B3E94B-DB00-4F3B-BBD0-B891585E2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27F9C-04E2-4D02-9A77-625D9D17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973</Words>
  <Characters>5549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6509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LETTURA DI AL-FĀTIĤAH (L’APRENTE) DURANTE LA PREGHIERA</dc:title>
  <dc:subject>LA LETTURA DI AL-FĀTIĤAH (L’APRENTE) DURANTE LA PREGHIERA</dc:subject>
  <dc:creator>Ash-Shaykh Muĥammad Şāliĥ Al-Munajjid</dc:creator>
  <cp:keywords>LA LETTURA DI AL-FĀTIĤAH (L’APRENTE) DURANTE LA PREGHIERA</cp:keywords>
  <dc:description>LA LETTURA DI AL-FĀTIĤAH (L’APRENTE) DURANTE LA PREGHIERA</dc:description>
  <cp:lastModifiedBy>Mahmoud</cp:lastModifiedBy>
  <cp:revision>20</cp:revision>
  <cp:lastPrinted>2015-01-13T04:52:00Z</cp:lastPrinted>
  <dcterms:created xsi:type="dcterms:W3CDTF">2017-04-01T07:07:00Z</dcterms:created>
  <dcterms:modified xsi:type="dcterms:W3CDTF">2017-05-08T18:43:00Z</dcterms:modified>
  <cp:category/>
</cp:coreProperties>
</file>