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D5" w:rsidRDefault="000C32D5" w:rsidP="000C32D5">
      <w:pPr>
        <w:jc w:val="center"/>
        <w:rPr>
          <w:rFonts w:ascii="Arial" w:hAnsi="Arial" w:cs="Arial" w:hint="eastAsia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315pt;margin-top:3.3pt;width:140.75pt;height:35.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874076" w:rsidRPr="00C70045" w:rsidRDefault="00874076" w:rsidP="000C32D5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>
                    <w:rPr>
                      <w:rFonts w:hint="cs"/>
                      <w:i/>
                      <w:iCs/>
                      <w:u w:val="single"/>
                      <w:rtl/>
                    </w:rPr>
                    <w:t xml:space="preserve">فتوى </w:t>
                  </w:r>
                  <w:r>
                    <w:rPr>
                      <w:rFonts w:hint="eastAsia"/>
                      <w:i/>
                      <w:iCs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i/>
                      <w:iCs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0C32D5" w:rsidRDefault="000C32D5" w:rsidP="000C32D5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0C32D5" w:rsidRPr="004D5E5B" w:rsidRDefault="000C32D5" w:rsidP="000C32D5">
      <w:pPr>
        <w:jc w:val="center"/>
        <w:rPr>
          <w:rFonts w:ascii="SimSun" w:eastAsia="SimSun" w:hAnsi="SimSun" w:cs="Tahoma"/>
          <w:b/>
          <w:bCs/>
          <w:sz w:val="36"/>
          <w:szCs w:val="36"/>
          <w:rtl/>
        </w:rPr>
      </w:pPr>
      <w:r w:rsidRPr="004D5E5B">
        <w:rPr>
          <w:rFonts w:ascii="SimSun" w:eastAsia="SimSun" w:hAnsi="SimSun" w:cs="Microsoft YaHei" w:hint="eastAsia"/>
          <w:b/>
          <w:bCs/>
          <w:sz w:val="36"/>
          <w:szCs w:val="36"/>
        </w:rPr>
        <w:t>受戒期间背婴儿背</w:t>
      </w:r>
      <w:r w:rsidRPr="004D5E5B">
        <w:rPr>
          <w:rFonts w:ascii="SimSun" w:eastAsia="SimSun" w:hAnsi="SimSun" w:cs="Microsoft YaHei"/>
          <w:b/>
          <w:bCs/>
          <w:sz w:val="36"/>
          <w:szCs w:val="36"/>
        </w:rPr>
        <w:t>带</w:t>
      </w:r>
    </w:p>
    <w:p w:rsidR="000C32D5" w:rsidRPr="000C32D5" w:rsidRDefault="000C32D5" w:rsidP="000C32D5">
      <w:pPr>
        <w:spacing w:beforeLines="50"/>
        <w:jc w:val="center"/>
        <w:rPr>
          <w:rFonts w:ascii="Tahoma" w:hAnsi="Tahoma" w:cs="Tahoma" w:hint="eastAsia"/>
          <w:b/>
          <w:bCs/>
          <w:szCs w:val="24"/>
          <w:lang w:bidi="ar-EG"/>
        </w:rPr>
      </w:pPr>
      <w:r w:rsidRPr="00F954E8">
        <w:rPr>
          <w:rFonts w:ascii="Tahoma" w:eastAsia="MS UI Gothic" w:hAnsi="Tahoma" w:cs="Tahoma"/>
          <w:b/>
          <w:bCs/>
          <w:szCs w:val="24"/>
          <w:rtl/>
          <w:lang w:bidi="ar-EG"/>
        </w:rPr>
        <w:t>]</w:t>
      </w:r>
      <w:r w:rsidRPr="00F954E8">
        <w:rPr>
          <w:rFonts w:ascii="Tahoma" w:eastAsia="MS UI Gothic" w:hAnsi="Tahoma" w:cs="Tahoma"/>
          <w:b/>
          <w:bCs/>
          <w:szCs w:val="24"/>
        </w:rPr>
        <w:t xml:space="preserve"> </w:t>
      </w:r>
      <w:r>
        <w:rPr>
          <w:rFonts w:ascii="SimSun" w:hAnsi="SimSun" w:cs="Tahoma" w:hint="eastAsia"/>
          <w:b/>
          <w:bCs/>
          <w:szCs w:val="24"/>
        </w:rPr>
        <w:t>中文</w:t>
      </w:r>
      <w:r w:rsidRPr="00F954E8">
        <w:rPr>
          <w:rFonts w:ascii="Tahoma" w:eastAsia="MS UI Gothic" w:hAnsi="Tahoma" w:cs="Tahoma"/>
          <w:b/>
          <w:bCs/>
          <w:szCs w:val="24"/>
          <w:rtl/>
          <w:lang w:bidi="ar-EG"/>
        </w:rPr>
        <w:t>[</w:t>
      </w:r>
      <w:r w:rsidRPr="00F954E8">
        <w:rPr>
          <w:rFonts w:ascii="Courier New" w:hAnsi="Courier New" w:cs="Courier New"/>
          <w:b/>
          <w:bCs/>
          <w:sz w:val="26"/>
          <w:szCs w:val="26"/>
        </w:rPr>
        <w:t xml:space="preserve"> </w:t>
      </w:r>
    </w:p>
    <w:p w:rsidR="000C32D5" w:rsidRPr="004D5E5B" w:rsidRDefault="000C32D5" w:rsidP="000C32D5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4D5E5B">
        <w:rPr>
          <w:rFonts w:asciiTheme="minorBidi" w:hAnsiTheme="minorBidi"/>
          <w:b/>
          <w:bCs/>
          <w:sz w:val="36"/>
          <w:szCs w:val="36"/>
          <w:rtl/>
        </w:rPr>
        <w:t>لبس حمالة الطفل أثناء الإحرام</w:t>
      </w:r>
    </w:p>
    <w:p w:rsidR="000C32D5" w:rsidRPr="00916C52" w:rsidRDefault="000C32D5" w:rsidP="000C32D5">
      <w:pPr>
        <w:jc w:val="center"/>
        <w:rPr>
          <w:rFonts w:ascii="Courier New" w:hAnsi="Courier New" w:cs="Courier New"/>
          <w:b/>
          <w:bCs/>
          <w:szCs w:val="24"/>
        </w:rPr>
      </w:pPr>
      <w:r w:rsidRPr="00916C52">
        <w:rPr>
          <w:rFonts w:ascii="mylotus" w:hAnsi="mylotus" w:cs="mylotus"/>
          <w:b/>
          <w:bCs/>
          <w:szCs w:val="24"/>
          <w:rtl/>
          <w:lang w:bidi="ar-EG"/>
        </w:rPr>
        <w:t xml:space="preserve"> [</w:t>
      </w:r>
      <w:r>
        <w:rPr>
          <w:rFonts w:ascii="mylotus" w:hAnsi="mylotus" w:cs="mylotus" w:hint="cs"/>
          <w:b/>
          <w:bCs/>
          <w:szCs w:val="24"/>
          <w:rtl/>
          <w:lang w:bidi="ar-EG"/>
        </w:rPr>
        <w:t>ب</w:t>
      </w:r>
      <w:r w:rsidRPr="00916C52">
        <w:rPr>
          <w:rFonts w:ascii="mylotus" w:hAnsi="mylotus" w:cs="mylotus"/>
          <w:b/>
          <w:bCs/>
          <w:szCs w:val="24"/>
          <w:rtl/>
          <w:lang w:bidi="ar-EG"/>
        </w:rPr>
        <w:t>اللغة ا</w:t>
      </w:r>
      <w:r>
        <w:rPr>
          <w:rFonts w:ascii="mylotus" w:hAnsi="mylotus" w:cs="mylotus" w:hint="cs"/>
          <w:b/>
          <w:bCs/>
          <w:szCs w:val="24"/>
          <w:rtl/>
          <w:lang w:bidi="ar-EG"/>
        </w:rPr>
        <w:t>لصينية</w:t>
      </w:r>
      <w:r w:rsidRPr="00916C52">
        <w:rPr>
          <w:rFonts w:ascii="mylotus" w:hAnsi="mylotus" w:cs="mylotus"/>
          <w:b/>
          <w:bCs/>
          <w:szCs w:val="24"/>
          <w:rtl/>
          <w:lang w:bidi="ar-EG"/>
        </w:rPr>
        <w:t xml:space="preserve"> ]</w:t>
      </w:r>
    </w:p>
    <w:p w:rsidR="000C32D5" w:rsidRDefault="000C32D5" w:rsidP="000C32D5">
      <w:pPr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0C32D5" w:rsidRDefault="000C32D5" w:rsidP="000C32D5">
      <w:pPr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C32D5" w:rsidRPr="00393B68" w:rsidRDefault="000C32D5" w:rsidP="000C32D5">
      <w:pPr>
        <w:spacing w:before="150" w:after="150" w:line="284" w:lineRule="atLeast"/>
        <w:jc w:val="center"/>
        <w:rPr>
          <w:rFonts w:ascii="TR Bahamas Light" w:hAnsi="TR Bahamas Light" w:cs="AL-Mohanad"/>
          <w:b/>
          <w:bCs/>
          <w:szCs w:val="32"/>
          <w:lang w:val="tr-TR"/>
        </w:rPr>
      </w:pPr>
      <w:r w:rsidRPr="00A60587">
        <w:rPr>
          <w:rFonts w:ascii="STXingkai" w:eastAsia="STXingkai"/>
          <w:b/>
          <w:bCs/>
          <w:sz w:val="32"/>
          <w:szCs w:val="32"/>
        </w:rPr>
        <w:t>伊斯兰问答网站</w:t>
      </w:r>
    </w:p>
    <w:p w:rsidR="000C32D5" w:rsidRPr="00F954E8" w:rsidRDefault="000C32D5" w:rsidP="000C32D5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lang w:bidi="ar-EG"/>
        </w:rPr>
      </w:pPr>
      <w:r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موقع</w:t>
      </w:r>
      <w:r w:rsidRPr="00A6058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الإسلام سؤال وجواب</w:t>
      </w:r>
    </w:p>
    <w:p w:rsidR="000C32D5" w:rsidRDefault="000C32D5" w:rsidP="000C32D5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0C32D5" w:rsidRDefault="000C32D5" w:rsidP="000C32D5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0C32D5" w:rsidRPr="0007149E" w:rsidRDefault="000C32D5" w:rsidP="000C32D5">
      <w:pPr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0C32D5" w:rsidRDefault="000C32D5" w:rsidP="000C32D5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0C32D5" w:rsidRPr="00F954E8" w:rsidRDefault="000C32D5" w:rsidP="000C32D5">
      <w:pPr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2"/>
          <w:szCs w:val="32"/>
        </w:rPr>
      </w:pPr>
      <w:r w:rsidRPr="00CD733C">
        <w:rPr>
          <w:rFonts w:ascii="STXinwei" w:eastAsia="STXinwei" w:hAnsi="Calibri" w:cs="KFGQPC Uthman Taha Naskh" w:hint="eastAsia"/>
          <w:b/>
          <w:bCs/>
          <w:sz w:val="32"/>
          <w:szCs w:val="32"/>
        </w:rPr>
        <w:t>编审</w:t>
      </w:r>
      <w:r w:rsidRPr="00CD733C">
        <w:rPr>
          <w:rFonts w:ascii="STXingkai" w:eastAsia="STXingkai" w:hAnsi="TR Bahamas Light"/>
          <w:b/>
          <w:bCs/>
          <w:sz w:val="32"/>
          <w:szCs w:val="32"/>
          <w:lang w:val="tr-TR"/>
        </w:rPr>
        <w:t>:</w:t>
      </w:r>
      <w:r w:rsidRPr="00F954E8">
        <w:rPr>
          <w:rFonts w:ascii="TR Bahamas Light" w:hAnsi="TR Bahamas Light" w:cs="mylotus"/>
          <w:b/>
          <w:bCs/>
          <w:sz w:val="32"/>
          <w:szCs w:val="32"/>
        </w:rPr>
        <w:t xml:space="preserve"> </w:t>
      </w:r>
      <w:r w:rsidRPr="00856385">
        <w:rPr>
          <w:rFonts w:asciiTheme="minorEastAsia" w:hAnsiTheme="minorEastAsia" w:hint="eastAsia"/>
          <w:kern w:val="28"/>
          <w:sz w:val="28"/>
          <w:szCs w:val="28"/>
        </w:rPr>
        <w:t>伊斯兰之家中文小组</w:t>
      </w:r>
    </w:p>
    <w:p w:rsidR="000C32D5" w:rsidRPr="00F954E8" w:rsidRDefault="000C32D5" w:rsidP="000C32D5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32"/>
          <w:szCs w:val="32"/>
        </w:rPr>
      </w:pPr>
      <w:r w:rsidRPr="00F954E8">
        <w:rPr>
          <w:rFonts w:ascii="mylotus" w:hAnsi="mylotus" w:cs="mylotus" w:hint="cs"/>
          <w:b/>
          <w:bCs/>
          <w:sz w:val="32"/>
          <w:szCs w:val="32"/>
          <w:rtl/>
        </w:rPr>
        <w:t>مراجعة</w:t>
      </w: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: </w:t>
      </w:r>
      <w:r w:rsidRPr="00C70045">
        <w:rPr>
          <w:rFonts w:ascii="mylotus" w:hAnsi="mylotus" w:cs="KFGQPC Uthman Taha Naskh" w:hint="cs"/>
          <w:sz w:val="32"/>
          <w:szCs w:val="32"/>
          <w:rtl/>
          <w:lang w:bidi="ar-EG"/>
        </w:rPr>
        <w:t>فريق اللغة الصينية بموقع دار الإسلام</w:t>
      </w:r>
    </w:p>
    <w:p w:rsidR="000C32D5" w:rsidRDefault="000C32D5" w:rsidP="000C32D5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0C32D5" w:rsidRDefault="000C32D5" w:rsidP="000C32D5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0C32D5" w:rsidRPr="0007149E" w:rsidRDefault="000C32D5" w:rsidP="000C32D5">
      <w:pPr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0C32D5" w:rsidRPr="00F954E8" w:rsidRDefault="000C32D5" w:rsidP="000C32D5">
      <w:pPr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2"/>
          <w:szCs w:val="32"/>
        </w:rPr>
      </w:pPr>
      <w:r w:rsidRPr="00393B68">
        <w:rPr>
          <w:rFonts w:ascii="STXingkai" w:eastAsia="STXingkai" w:hint="eastAsia"/>
          <w:b/>
          <w:bCs/>
          <w:sz w:val="32"/>
          <w:szCs w:val="32"/>
        </w:rPr>
        <w:t>沙特利雅得莱布宣传指导合作办公室</w:t>
      </w:r>
    </w:p>
    <w:p w:rsidR="000C32D5" w:rsidRPr="00F954E8" w:rsidRDefault="000C32D5" w:rsidP="000C32D5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32"/>
          <w:szCs w:val="32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F954E8">
        <w:rPr>
          <w:rFonts w:ascii="mylotus" w:hAnsi="mylotus" w:cs="mylotus" w:hint="cs"/>
          <w:b/>
          <w:bCs/>
          <w:sz w:val="32"/>
          <w:szCs w:val="32"/>
          <w:rtl/>
        </w:rPr>
        <w:t>المكتب التعاوني للدعوة وتوعية الجاليات بالربوة بمدينة الرياض</w:t>
      </w:r>
    </w:p>
    <w:p w:rsidR="000C32D5" w:rsidRPr="00856385" w:rsidRDefault="000C32D5" w:rsidP="000C32D5">
      <w:pPr>
        <w:spacing w:before="120" w:after="120"/>
        <w:ind w:firstLine="567"/>
        <w:jc w:val="center"/>
        <w:rPr>
          <w:rFonts w:ascii="MS UI Gothic" w:hAnsi="MS UI Gothic" w:cs="Times New Roman"/>
          <w:b/>
          <w:bCs/>
          <w:sz w:val="32"/>
          <w:szCs w:val="32"/>
        </w:rPr>
      </w:pPr>
      <w:r>
        <w:rPr>
          <w:rFonts w:ascii="MS UI Gothic" w:eastAsia="MS UI Gothic" w:hAnsi="MS UI Gothic" w:cs="Times New Roman"/>
          <w:b/>
          <w:bCs/>
          <w:sz w:val="32"/>
          <w:szCs w:val="32"/>
        </w:rPr>
        <w:t>201</w:t>
      </w:r>
      <w:r>
        <w:rPr>
          <w:rFonts w:ascii="MS UI Gothic" w:hAnsi="MS UI Gothic" w:cs="Times New Roman" w:hint="eastAsia"/>
          <w:b/>
          <w:bCs/>
          <w:sz w:val="32"/>
          <w:szCs w:val="32"/>
        </w:rPr>
        <w:t>4</w:t>
      </w:r>
      <w:r>
        <w:rPr>
          <w:rFonts w:ascii="MS UI Gothic" w:eastAsia="MS UI Gothic" w:hAnsi="MS UI Gothic" w:cs="Times New Roman"/>
          <w:b/>
          <w:bCs/>
          <w:sz w:val="32"/>
          <w:szCs w:val="32"/>
        </w:rPr>
        <w:t xml:space="preserve"> - 14</w:t>
      </w:r>
      <w:r>
        <w:rPr>
          <w:rFonts w:ascii="MS UI Gothic" w:hAnsi="MS UI Gothic" w:cs="Times New Roman" w:hint="eastAsia"/>
          <w:b/>
          <w:bCs/>
          <w:sz w:val="32"/>
          <w:szCs w:val="32"/>
        </w:rPr>
        <w:t>35</w:t>
      </w:r>
    </w:p>
    <w:p w:rsidR="000C32D5" w:rsidRDefault="000C32D5" w:rsidP="000C32D5">
      <w:pPr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1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D5" w:rsidRDefault="000C32D5" w:rsidP="000C32D5">
      <w:pPr>
        <w:rPr>
          <w:rFonts w:ascii="Calibri" w:hAnsi="Calibri" w:cs="KFGQPC Uthman Taha Naskh"/>
          <w:b/>
          <w:bCs/>
          <w:color w:val="800000"/>
          <w:sz w:val="40"/>
          <w:szCs w:val="40"/>
          <w:rtl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</w:rPr>
        <w:br w:type="page"/>
      </w:r>
    </w:p>
    <w:p w:rsidR="000C32D5" w:rsidRPr="00A60587" w:rsidRDefault="000C32D5" w:rsidP="000C32D5">
      <w:pPr>
        <w:jc w:val="center"/>
        <w:rPr>
          <w:rFonts w:ascii="Calibri" w:hAnsi="Calibri" w:cs="Arial"/>
        </w:rPr>
      </w:pPr>
      <w:r w:rsidRPr="00A60587">
        <w:rPr>
          <w:rFonts w:ascii="Calibri" w:hAnsi="Calibri" w:cs="Arial"/>
          <w:noProof/>
        </w:rPr>
        <w:lastRenderedPageBreak/>
        <w:drawing>
          <wp:inline distT="0" distB="0" distL="0" distR="0">
            <wp:extent cx="1795780" cy="313055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D5" w:rsidRPr="00616C3E" w:rsidRDefault="000C32D5" w:rsidP="000C32D5">
      <w:pPr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sz w:val="32"/>
          <w:szCs w:val="32"/>
          <w:rtl/>
        </w:rPr>
      </w:pPr>
      <w:r w:rsidRPr="00A60587">
        <w:rPr>
          <w:rFonts w:ascii="STXingkai" w:eastAsia="STXingkai" w:hAnsi="Calibri" w:cs="KFGQPC Uthman Taha Naskh" w:hint="eastAsia"/>
          <w:b/>
          <w:bCs/>
          <w:sz w:val="32"/>
          <w:szCs w:val="32"/>
        </w:rPr>
        <w:t>奉普慈特慈的真主之名</w:t>
      </w:r>
    </w:p>
    <w:p w:rsidR="000C32D5" w:rsidRPr="00A60587" w:rsidRDefault="000C32D5" w:rsidP="000C32D5">
      <w:pPr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</w:rPr>
      </w:pPr>
    </w:p>
    <w:p w:rsidR="000C32D5" w:rsidRPr="004D5E5B" w:rsidRDefault="004D5E5B" w:rsidP="000C32D5">
      <w:pPr>
        <w:shd w:val="clear" w:color="auto" w:fill="FFFFFF"/>
        <w:spacing w:after="75" w:line="240" w:lineRule="auto"/>
        <w:jc w:val="both"/>
        <w:outlineLvl w:val="3"/>
        <w:rPr>
          <w:rFonts w:asciiTheme="minorEastAsia" w:hAnsiTheme="minorEastAsia" w:cs="Tahoma"/>
          <w:b/>
          <w:bCs/>
          <w:sz w:val="32"/>
          <w:szCs w:val="32"/>
        </w:rPr>
      </w:pPr>
      <w:r>
        <w:rPr>
          <w:rFonts w:asciiTheme="minorEastAsia" w:hAnsiTheme="minorEastAsia" w:cs="MS Mincho" w:hint="eastAsia"/>
          <w:color w:val="943E19"/>
          <w:sz w:val="28"/>
          <w:szCs w:val="28"/>
        </w:rPr>
        <w:t xml:space="preserve">                    </w:t>
      </w:r>
      <w:r w:rsidR="000C32D5" w:rsidRPr="004D5E5B">
        <w:rPr>
          <w:rFonts w:asciiTheme="minorEastAsia" w:hAnsiTheme="minorEastAsia" w:cs="MS Mincho"/>
          <w:b/>
          <w:bCs/>
          <w:sz w:val="32"/>
          <w:szCs w:val="32"/>
        </w:rPr>
        <w:t>受戒期</w:t>
      </w:r>
      <w:r w:rsidR="000C32D5" w:rsidRPr="004D5E5B">
        <w:rPr>
          <w:rFonts w:asciiTheme="minorEastAsia" w:hAnsiTheme="minorEastAsia" w:cs="PMingLiU"/>
          <w:b/>
          <w:bCs/>
          <w:sz w:val="32"/>
          <w:szCs w:val="32"/>
        </w:rPr>
        <w:t>间背婴儿背带</w:t>
      </w:r>
    </w:p>
    <w:p w:rsidR="004D5E5B" w:rsidRDefault="004D5E5B" w:rsidP="000C32D5">
      <w:pPr>
        <w:shd w:val="clear" w:color="auto" w:fill="FFFFFF"/>
        <w:spacing w:after="0" w:line="480" w:lineRule="auto"/>
        <w:jc w:val="both"/>
        <w:rPr>
          <w:rFonts w:asciiTheme="minorEastAsia" w:hAnsiTheme="minorEastAsia" w:cs="Tahoma" w:hint="eastAsia"/>
          <w:b/>
          <w:bCs/>
          <w:color w:val="943E19"/>
          <w:sz w:val="28"/>
          <w:szCs w:val="28"/>
        </w:rPr>
      </w:pPr>
    </w:p>
    <w:p w:rsidR="004D5E5B" w:rsidRDefault="004D5E5B" w:rsidP="000C32D5">
      <w:pPr>
        <w:shd w:val="clear" w:color="auto" w:fill="FFFFFF"/>
        <w:spacing w:after="0" w:line="480" w:lineRule="auto"/>
        <w:jc w:val="both"/>
        <w:rPr>
          <w:rFonts w:asciiTheme="minorEastAsia" w:hAnsiTheme="minorEastAsia" w:cs="Microsoft JhengHei" w:hint="eastAsia"/>
          <w:b/>
          <w:bCs/>
          <w:color w:val="C00000"/>
          <w:sz w:val="28"/>
          <w:szCs w:val="28"/>
        </w:rPr>
      </w:pPr>
      <w:r w:rsidRPr="004D5E5B">
        <w:rPr>
          <w:rFonts w:asciiTheme="minorEastAsia" w:hAnsiTheme="minorEastAsia" w:cs="Tahoma" w:hint="eastAsia"/>
          <w:b/>
          <w:bCs/>
          <w:color w:val="C00000"/>
          <w:sz w:val="28"/>
          <w:szCs w:val="28"/>
        </w:rPr>
        <w:t>问 ：</w:t>
      </w:r>
      <w:r w:rsidR="000C32D5" w:rsidRPr="004D5E5B">
        <w:rPr>
          <w:rFonts w:asciiTheme="minorEastAsia" w:hAnsiTheme="minorEastAsia" w:cs="MS UI Gothic" w:hint="eastAsia"/>
          <w:b/>
          <w:bCs/>
          <w:color w:val="C00000"/>
          <w:sz w:val="28"/>
          <w:szCs w:val="28"/>
        </w:rPr>
        <w:t>主命副朝期</w:t>
      </w:r>
      <w:r w:rsidR="000C32D5" w:rsidRPr="004D5E5B">
        <w:rPr>
          <w:rFonts w:asciiTheme="minorEastAsia" w:hAnsiTheme="minorEastAsia" w:cs="Microsoft JhengHei" w:hint="eastAsia"/>
          <w:b/>
          <w:bCs/>
          <w:color w:val="C00000"/>
          <w:sz w:val="28"/>
          <w:szCs w:val="28"/>
        </w:rPr>
        <w:t>间背婴儿背带的断法是什么？这个婴儿背带在英文</w:t>
      </w:r>
      <w:r>
        <w:rPr>
          <w:rFonts w:asciiTheme="minorEastAsia" w:hAnsiTheme="minorEastAsia" w:cs="Microsoft JhengHei" w:hint="eastAsia"/>
          <w:b/>
          <w:bCs/>
          <w:color w:val="C00000"/>
          <w:sz w:val="28"/>
          <w:szCs w:val="28"/>
        </w:rPr>
        <w:t xml:space="preserve"> </w:t>
      </w:r>
    </w:p>
    <w:p w:rsidR="000C32D5" w:rsidRPr="00874076" w:rsidRDefault="004D5E5B" w:rsidP="000C32D5">
      <w:pPr>
        <w:shd w:val="clear" w:color="auto" w:fill="FFFFFF"/>
        <w:spacing w:after="0" w:line="480" w:lineRule="auto"/>
        <w:jc w:val="both"/>
        <w:rPr>
          <w:rFonts w:asciiTheme="minorEastAsia" w:hAnsiTheme="minorEastAsia" w:cs="Tahoma"/>
          <w:b/>
          <w:bCs/>
          <w:color w:val="943E19"/>
          <w:sz w:val="28"/>
          <w:szCs w:val="28"/>
        </w:rPr>
      </w:pPr>
      <w:r>
        <w:rPr>
          <w:rFonts w:asciiTheme="minorEastAsia" w:hAnsiTheme="minorEastAsia" w:cs="Microsoft JhengHei" w:hint="eastAsia"/>
          <w:b/>
          <w:bCs/>
          <w:color w:val="C00000"/>
          <w:sz w:val="28"/>
          <w:szCs w:val="28"/>
        </w:rPr>
        <w:t xml:space="preserve">     </w:t>
      </w:r>
      <w:r w:rsidR="000C32D5" w:rsidRPr="004D5E5B">
        <w:rPr>
          <w:rFonts w:asciiTheme="minorEastAsia" w:hAnsiTheme="minorEastAsia" w:cs="Microsoft JhengHei" w:hint="eastAsia"/>
          <w:b/>
          <w:bCs/>
          <w:color w:val="C00000"/>
          <w:sz w:val="28"/>
          <w:szCs w:val="28"/>
        </w:rPr>
        <w:t>中称</w:t>
      </w:r>
      <w:r w:rsidR="000C32D5" w:rsidRPr="004D5E5B">
        <w:rPr>
          <w:rFonts w:asciiTheme="minorEastAsia" w:hAnsiTheme="minorEastAsia" w:cs="Tahoma"/>
          <w:b/>
          <w:bCs/>
          <w:color w:val="C00000"/>
          <w:sz w:val="28"/>
          <w:szCs w:val="28"/>
        </w:rPr>
        <w:t>“kengoro”</w:t>
      </w:r>
    </w:p>
    <w:p w:rsidR="000C32D5" w:rsidRPr="004D5E5B" w:rsidRDefault="004D5E5B" w:rsidP="000C32D5">
      <w:pPr>
        <w:shd w:val="clear" w:color="auto" w:fill="FFFFFF"/>
        <w:spacing w:after="150" w:line="480" w:lineRule="auto"/>
        <w:jc w:val="both"/>
        <w:rPr>
          <w:rFonts w:asciiTheme="minorEastAsia" w:hAnsiTheme="minorEastAsia" w:cs="Tahoma"/>
          <w:b/>
          <w:bCs/>
          <w:sz w:val="28"/>
          <w:szCs w:val="28"/>
        </w:rPr>
      </w:pPr>
      <w:r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答 ：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一切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赞颂全归真主</w:t>
      </w:r>
      <w:r w:rsidR="000C32D5" w:rsidRPr="004D5E5B">
        <w:rPr>
          <w:rFonts w:asciiTheme="minorEastAsia" w:hAnsiTheme="minorEastAsia" w:cs="MS UI Gothic"/>
          <w:b/>
          <w:bCs/>
          <w:sz w:val="28"/>
          <w:szCs w:val="28"/>
        </w:rPr>
        <w:t>！</w:t>
      </w:r>
    </w:p>
    <w:p w:rsidR="000C32D5" w:rsidRPr="004D5E5B" w:rsidRDefault="004D5E5B" w:rsidP="000C32D5">
      <w:pPr>
        <w:shd w:val="clear" w:color="auto" w:fill="FFFFFF"/>
        <w:spacing w:after="150" w:line="480" w:lineRule="auto"/>
        <w:jc w:val="both"/>
        <w:rPr>
          <w:rFonts w:asciiTheme="minorEastAsia" w:hAnsiTheme="minorEastAsia" w:cs="Tahoma"/>
          <w:b/>
          <w:bCs/>
          <w:sz w:val="28"/>
          <w:szCs w:val="28"/>
        </w:rPr>
      </w:pPr>
      <w:r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 xml:space="preserve">    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受戒期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间背各种婴儿背带都是无妨的。因为它不属于受戒期间明文禁止的衣物范畴，也不在其所属含义内。类似于它的如；水壶、饭盒、用绳子绑在身上的行李等等这些都是一样的断法，不属于受禁之物</w:t>
      </w:r>
      <w:r w:rsidR="000C32D5" w:rsidRPr="004D5E5B">
        <w:rPr>
          <w:rFonts w:asciiTheme="minorEastAsia" w:hAnsiTheme="minorEastAsia" w:cs="MS UI Gothic"/>
          <w:b/>
          <w:bCs/>
          <w:sz w:val="28"/>
          <w:szCs w:val="28"/>
        </w:rPr>
        <w:t>。</w:t>
      </w:r>
    </w:p>
    <w:p w:rsidR="000C32D5" w:rsidRPr="004D5E5B" w:rsidRDefault="004D5E5B" w:rsidP="000C32D5">
      <w:pPr>
        <w:shd w:val="clear" w:color="auto" w:fill="FFFFFF"/>
        <w:spacing w:after="150" w:line="480" w:lineRule="auto"/>
        <w:jc w:val="both"/>
        <w:rPr>
          <w:rFonts w:asciiTheme="minorEastAsia" w:hAnsiTheme="minorEastAsia" w:cs="Tahoma"/>
          <w:b/>
          <w:bCs/>
          <w:sz w:val="28"/>
          <w:szCs w:val="28"/>
        </w:rPr>
      </w:pPr>
      <w:r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 xml:space="preserve">    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受戒者不能穿戴衣衫、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裤子、宽大的连帽大袍、帽子、靴子。依据为《布哈里圣训集》第（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5808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）段和《穆斯林圣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训集》第（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1177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）段中所收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录的圣训：据阿卜杜拉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·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本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·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欧麦</w:t>
      </w:r>
      <w:r w:rsidR="000C32D5" w:rsidRPr="004D5E5B">
        <w:rPr>
          <w:rFonts w:asciiTheme="minorEastAsia" w:hAnsiTheme="minorEastAsia" w:cs="Gulim" w:hint="eastAsia"/>
          <w:b/>
          <w:bCs/>
          <w:sz w:val="28"/>
          <w:szCs w:val="28"/>
        </w:rPr>
        <w:t>尔（愿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真主喜悦他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俩）传述：一个男子说：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“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真主的使者呀！受戒者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应穿什么衣服？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”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先知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说：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“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受戒者不要穿衣衫、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裤子、宽大的连帽大衣、靴子，除了没有拖鞋者可以穿低于脚踝的任何鞋子，不要穿染有番红花和黄姜的衣服。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”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这还包括男、女式大袍、短裤、小帽子、袜子等各种常规下按肢体体形缝制的衣物</w:t>
      </w:r>
      <w:r w:rsidR="000C32D5" w:rsidRPr="004D5E5B">
        <w:rPr>
          <w:rFonts w:asciiTheme="minorEastAsia" w:hAnsiTheme="minorEastAsia" w:cs="MS UI Gothic"/>
          <w:b/>
          <w:bCs/>
          <w:sz w:val="28"/>
          <w:szCs w:val="28"/>
        </w:rPr>
        <w:t>。</w:t>
      </w:r>
    </w:p>
    <w:p w:rsidR="000C32D5" w:rsidRPr="004D5E5B" w:rsidRDefault="000C32D5" w:rsidP="004D5E5B">
      <w:pPr>
        <w:shd w:val="clear" w:color="auto" w:fill="FFFFFF"/>
        <w:spacing w:after="150" w:line="480" w:lineRule="auto"/>
        <w:jc w:val="both"/>
        <w:rPr>
          <w:rFonts w:asciiTheme="minorEastAsia" w:hAnsiTheme="minorEastAsia" w:cs="Tahoma"/>
          <w:b/>
          <w:bCs/>
          <w:sz w:val="28"/>
          <w:szCs w:val="28"/>
        </w:rPr>
      </w:pPr>
      <w:r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lastRenderedPageBreak/>
        <w:t>学者伊本</w:t>
      </w:r>
      <w:r w:rsidRPr="004D5E5B">
        <w:rPr>
          <w:rFonts w:asciiTheme="minorEastAsia" w:hAnsiTheme="minorEastAsia" w:cs="Tahoma"/>
          <w:b/>
          <w:bCs/>
          <w:sz w:val="28"/>
          <w:szCs w:val="28"/>
        </w:rPr>
        <w:t>·</w:t>
      </w:r>
      <w:r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巴</w:t>
      </w:r>
      <w:r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兹（愿真主慈悯他）就受戒者禁止穿的衣物曾详细解释道：</w:t>
      </w:r>
      <w:r w:rsidRPr="004D5E5B">
        <w:rPr>
          <w:rFonts w:asciiTheme="minorEastAsia" w:hAnsiTheme="minorEastAsia" w:cs="Tahoma"/>
          <w:b/>
          <w:bCs/>
          <w:sz w:val="28"/>
          <w:szCs w:val="28"/>
        </w:rPr>
        <w:t>“</w:t>
      </w:r>
      <w:r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圣</w:t>
      </w:r>
      <w:r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训已详细解释了缝制品即依任何肢体形体缝制的衣物如衣衫、上身的背心，下身的如裤子等等。由此类推还包括所有按手脚肢关节生产、缝制的物品如手套、靴子等等。</w:t>
      </w:r>
      <w:r w:rsidRPr="004D5E5B">
        <w:rPr>
          <w:rFonts w:asciiTheme="minorEastAsia" w:hAnsiTheme="minorEastAsia" w:cs="Tahoma"/>
          <w:b/>
          <w:bCs/>
          <w:sz w:val="28"/>
          <w:szCs w:val="28"/>
        </w:rPr>
        <w:t>”</w:t>
      </w:r>
      <w:r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摘自学者伊本</w:t>
      </w:r>
      <w:r w:rsidRPr="004D5E5B">
        <w:rPr>
          <w:rFonts w:asciiTheme="minorEastAsia" w:hAnsiTheme="minorEastAsia" w:cs="Tahoma"/>
          <w:b/>
          <w:bCs/>
          <w:sz w:val="28"/>
          <w:szCs w:val="28"/>
        </w:rPr>
        <w:t>·</w:t>
      </w:r>
      <w:r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巴</w:t>
      </w:r>
      <w:r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兹的《教法案例解答全集》（</w:t>
      </w:r>
      <w:r w:rsidRPr="004D5E5B">
        <w:rPr>
          <w:rFonts w:asciiTheme="minorEastAsia" w:hAnsiTheme="minorEastAsia" w:cs="Tahoma"/>
          <w:b/>
          <w:bCs/>
          <w:sz w:val="28"/>
          <w:szCs w:val="28"/>
        </w:rPr>
        <w:t>17</w:t>
      </w:r>
      <w:r w:rsidRPr="004D5E5B">
        <w:rPr>
          <w:rFonts w:asciiTheme="minorEastAsia" w:hAnsiTheme="minorEastAsia" w:cs="Arial"/>
          <w:b/>
          <w:bCs/>
          <w:sz w:val="28"/>
          <w:szCs w:val="28"/>
        </w:rPr>
        <w:t>∕</w:t>
      </w:r>
      <w:r w:rsidRPr="004D5E5B">
        <w:rPr>
          <w:rFonts w:asciiTheme="minorEastAsia" w:hAnsiTheme="minorEastAsia" w:cs="Tahoma"/>
          <w:b/>
          <w:bCs/>
          <w:sz w:val="28"/>
          <w:szCs w:val="28"/>
        </w:rPr>
        <w:t>118</w:t>
      </w:r>
      <w:r w:rsidRPr="004D5E5B">
        <w:rPr>
          <w:rFonts w:asciiTheme="minorEastAsia" w:hAnsiTheme="minorEastAsia" w:cs="MS UI Gothic"/>
          <w:b/>
          <w:bCs/>
          <w:sz w:val="28"/>
          <w:szCs w:val="28"/>
        </w:rPr>
        <w:t>）</w:t>
      </w:r>
    </w:p>
    <w:p w:rsidR="000C32D5" w:rsidRPr="004D5E5B" w:rsidRDefault="004D5E5B" w:rsidP="004D5E5B">
      <w:pPr>
        <w:shd w:val="clear" w:color="auto" w:fill="FFFFFF"/>
        <w:spacing w:after="150" w:line="480" w:lineRule="auto"/>
        <w:jc w:val="both"/>
        <w:rPr>
          <w:rFonts w:asciiTheme="minorEastAsia" w:hAnsiTheme="minorEastAsia" w:cs="Tahoma"/>
          <w:b/>
          <w:bCs/>
          <w:sz w:val="28"/>
          <w:szCs w:val="28"/>
        </w:rPr>
      </w:pPr>
      <w:r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 xml:space="preserve">    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学者伊本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·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欧塞敏（愿真主慈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悯他）说：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“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如果有人按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传统背着剑或抢也是允许的，无论是从字面还是内涵中它都不在圣训所指的范畴内。如果在肚子上系上皮带、在脊被上背上水壶、饭盒这都是允许的。重要的是使者（愿真主赐福他，并使他平安）已明文指出了受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禁之物，与其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类似，与其同意；与其有别的，则不为禁物；模棱两可的，则为合法的</w:t>
      </w:r>
      <w:r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”</w:t>
      </w:r>
      <w:r w:rsidR="000C32D5" w:rsidRPr="004D5E5B">
        <w:rPr>
          <w:rFonts w:asciiTheme="minorEastAsia" w:hAnsiTheme="minorEastAsia" w:cs="MS UI Gothic"/>
          <w:b/>
          <w:bCs/>
          <w:sz w:val="28"/>
          <w:szCs w:val="28"/>
        </w:rPr>
        <w:t>。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摘自《榭勒哈牧牧提阿》（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7</w:t>
      </w:r>
      <w:r w:rsidR="000C32D5" w:rsidRPr="004D5E5B">
        <w:rPr>
          <w:rFonts w:asciiTheme="minorEastAsia" w:hAnsiTheme="minorEastAsia" w:cs="Arial"/>
          <w:b/>
          <w:bCs/>
          <w:sz w:val="28"/>
          <w:szCs w:val="28"/>
        </w:rPr>
        <w:t>∕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152</w:t>
      </w:r>
      <w:r w:rsidR="000C32D5" w:rsidRPr="004D5E5B">
        <w:rPr>
          <w:rFonts w:asciiTheme="minorEastAsia" w:hAnsiTheme="minorEastAsia" w:cs="MS UI Gothic"/>
          <w:b/>
          <w:bCs/>
          <w:sz w:val="28"/>
          <w:szCs w:val="28"/>
        </w:rPr>
        <w:t>）</w:t>
      </w:r>
    </w:p>
    <w:p w:rsidR="000C32D5" w:rsidRPr="004D5E5B" w:rsidRDefault="004D5E5B" w:rsidP="004D5E5B">
      <w:pPr>
        <w:shd w:val="clear" w:color="auto" w:fill="FFFFFF"/>
        <w:spacing w:after="150" w:line="480" w:lineRule="auto"/>
        <w:jc w:val="both"/>
        <w:rPr>
          <w:rFonts w:asciiTheme="minorEastAsia" w:hAnsiTheme="minorEastAsia" w:cs="Tahoma"/>
          <w:b/>
          <w:bCs/>
          <w:sz w:val="28"/>
          <w:szCs w:val="28"/>
        </w:rPr>
      </w:pPr>
      <w:r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 xml:space="preserve">    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关于</w:t>
      </w:r>
      <w:r w:rsidR="000C32D5" w:rsidRPr="004D5E5B">
        <w:rPr>
          <w:rFonts w:asciiTheme="minorEastAsia" w:hAnsiTheme="minorEastAsia" w:cs="Microsoft JhengHei" w:hint="eastAsia"/>
          <w:b/>
          <w:bCs/>
          <w:sz w:val="28"/>
          <w:szCs w:val="28"/>
        </w:rPr>
        <w:t>婴儿背带则不外乎学者们所提的：所背东西的范畴，它类似于用绳子把行李绑在身上</w:t>
      </w:r>
      <w:r w:rsidR="000C32D5" w:rsidRPr="004D5E5B">
        <w:rPr>
          <w:rFonts w:asciiTheme="minorEastAsia" w:hAnsiTheme="minorEastAsia" w:cs="MS UI Gothic"/>
          <w:b/>
          <w:bCs/>
          <w:sz w:val="28"/>
          <w:szCs w:val="28"/>
        </w:rPr>
        <w:t>。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可参照《曼哈尼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·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哲理礼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·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榭勒哈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·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穆赫泰所勒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·</w:t>
      </w:r>
      <w:r w:rsidR="000C32D5"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哈利里》（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2</w:t>
      </w:r>
      <w:r w:rsidR="000C32D5" w:rsidRPr="004D5E5B">
        <w:rPr>
          <w:rFonts w:asciiTheme="minorEastAsia" w:hAnsiTheme="minorEastAsia" w:cs="Arial"/>
          <w:b/>
          <w:bCs/>
          <w:sz w:val="28"/>
          <w:szCs w:val="28"/>
        </w:rPr>
        <w:t>∕</w:t>
      </w:r>
      <w:r w:rsidR="000C32D5" w:rsidRPr="004D5E5B">
        <w:rPr>
          <w:rFonts w:asciiTheme="minorEastAsia" w:hAnsiTheme="minorEastAsia" w:cs="Tahoma"/>
          <w:b/>
          <w:bCs/>
          <w:sz w:val="28"/>
          <w:szCs w:val="28"/>
        </w:rPr>
        <w:t>308</w:t>
      </w:r>
      <w:r w:rsidR="000C32D5" w:rsidRPr="004D5E5B">
        <w:rPr>
          <w:rFonts w:asciiTheme="minorEastAsia" w:hAnsiTheme="minorEastAsia" w:cs="MS UI Gothic"/>
          <w:b/>
          <w:bCs/>
          <w:sz w:val="28"/>
          <w:szCs w:val="28"/>
        </w:rPr>
        <w:t>）</w:t>
      </w:r>
    </w:p>
    <w:p w:rsidR="000C32D5" w:rsidRPr="004D5E5B" w:rsidRDefault="000C32D5" w:rsidP="000C32D5">
      <w:pPr>
        <w:shd w:val="clear" w:color="auto" w:fill="FFFFFF"/>
        <w:spacing w:line="480" w:lineRule="auto"/>
        <w:jc w:val="both"/>
        <w:rPr>
          <w:rFonts w:asciiTheme="minorEastAsia" w:hAnsiTheme="minorEastAsia" w:cs="Tahoma"/>
          <w:b/>
          <w:bCs/>
          <w:sz w:val="28"/>
          <w:szCs w:val="28"/>
        </w:rPr>
      </w:pPr>
      <w:r w:rsidRPr="004D5E5B">
        <w:rPr>
          <w:rFonts w:asciiTheme="minorEastAsia" w:hAnsiTheme="minorEastAsia" w:cs="MS UI Gothic" w:hint="eastAsia"/>
          <w:b/>
          <w:bCs/>
          <w:sz w:val="28"/>
          <w:szCs w:val="28"/>
        </w:rPr>
        <w:t>真主至知！</w:t>
      </w:r>
      <w:r w:rsidRPr="004D5E5B">
        <w:rPr>
          <w:rFonts w:asciiTheme="minorEastAsia" w:hAnsiTheme="minorEastAsia" w:cs="MS UI Gothic"/>
          <w:b/>
          <w:bCs/>
          <w:sz w:val="28"/>
          <w:szCs w:val="28"/>
        </w:rPr>
        <w:t xml:space="preserve">　</w:t>
      </w:r>
    </w:p>
    <w:p w:rsidR="000C32D5" w:rsidRPr="00A60587" w:rsidRDefault="000C32D5" w:rsidP="000C32D5">
      <w:pPr>
        <w:shd w:val="clear" w:color="auto" w:fill="FFFFFF"/>
        <w:spacing w:after="120" w:line="480" w:lineRule="auto"/>
        <w:jc w:val="both"/>
        <w:rPr>
          <w:rFonts w:ascii="SimSun" w:hAnsi="SimSun" w:cs="Tahoma"/>
          <w:b/>
          <w:bCs/>
          <w:sz w:val="28"/>
          <w:szCs w:val="28"/>
        </w:rPr>
      </w:pPr>
    </w:p>
    <w:p w:rsidR="00874076" w:rsidRDefault="00874076"/>
    <w:sectPr w:rsidR="00874076" w:rsidSect="00874076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78" w:rsidRDefault="004E5D78" w:rsidP="000C32D5">
      <w:pPr>
        <w:spacing w:after="0" w:line="240" w:lineRule="auto"/>
      </w:pPr>
      <w:r>
        <w:separator/>
      </w:r>
    </w:p>
  </w:endnote>
  <w:endnote w:type="continuationSeparator" w:id="1">
    <w:p w:rsidR="004E5D78" w:rsidRDefault="004E5D78" w:rsidP="000C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charset w:val="00"/>
    <w:family w:val="swiss"/>
    <w:pitch w:val="variable"/>
    <w:sig w:usb0="00000001" w:usb1="00000000" w:usb2="00000000" w:usb3="00000000" w:csb0="0000001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76" w:rsidRDefault="00874076" w:rsidP="00874076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874076" w:rsidRDefault="008740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76" w:rsidRDefault="00874076" w:rsidP="00874076">
    <w:pPr>
      <w:pStyle w:val="a4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D5E5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874076" w:rsidRPr="00156EB3" w:rsidRDefault="00874076" w:rsidP="00874076">
    <w:pPr>
      <w:pStyle w:val="a4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78" w:rsidRDefault="004E5D78" w:rsidP="000C32D5">
      <w:pPr>
        <w:spacing w:after="0" w:line="240" w:lineRule="auto"/>
      </w:pPr>
      <w:r>
        <w:separator/>
      </w:r>
    </w:p>
  </w:footnote>
  <w:footnote w:type="continuationSeparator" w:id="1">
    <w:p w:rsidR="004E5D78" w:rsidRDefault="004E5D78" w:rsidP="000C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hdrShapeDefaults>
    <o:shapedefaults v:ext="edit" spidmax="3074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C32D5"/>
    <w:rsid w:val="000C32D5"/>
    <w:rsid w:val="004D5E5B"/>
    <w:rsid w:val="004E5D78"/>
    <w:rsid w:val="0087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0C32D5"/>
  </w:style>
  <w:style w:type="paragraph" w:styleId="a4">
    <w:name w:val="footer"/>
    <w:aliases w:val="Footer"/>
    <w:basedOn w:val="a"/>
    <w:link w:val="Char0"/>
    <w:unhideWhenUsed/>
    <w:rsid w:val="000C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aliases w:val="Footer Char"/>
    <w:basedOn w:val="a0"/>
    <w:link w:val="a4"/>
    <w:rsid w:val="000C32D5"/>
  </w:style>
  <w:style w:type="character" w:styleId="a5">
    <w:name w:val="page number"/>
    <w:basedOn w:val="a0"/>
    <w:rsid w:val="000C32D5"/>
  </w:style>
  <w:style w:type="paragraph" w:styleId="a6">
    <w:name w:val="Balloon Text"/>
    <w:basedOn w:val="a"/>
    <w:link w:val="Char1"/>
    <w:uiPriority w:val="99"/>
    <w:semiHidden/>
    <w:unhideWhenUsed/>
    <w:rsid w:val="000C32D5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32D5"/>
    <w:rPr>
      <w:rFonts w:ascii="Microsoft YaHei" w:eastAsia="Microsoft YaHe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163</Words>
  <Characters>932</Characters>
  <Application>Microsoft Office Word</Application>
  <DocSecurity>0</DocSecurity>
  <Lines>7</Lines>
  <Paragraphs>2</Paragraphs>
  <ScaleCrop>false</ScaleCrop>
  <Company>微软中国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2014-07-07T14:38:00Z</dcterms:created>
  <dcterms:modified xsi:type="dcterms:W3CDTF">2014-07-07T15:07:00Z</dcterms:modified>
</cp:coreProperties>
</file>