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3278B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3278B4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我们怎样区别圣行和习惯，比如关于戴缠巾的问题</w:t>
      </w:r>
    </w:p>
    <w:p w:rsidR="003278B4" w:rsidRPr="003278B4" w:rsidRDefault="003278B4" w:rsidP="003278B4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3278B4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كيف نفرق بين السنة والعادة كلبس العمامة</w:t>
      </w:r>
    </w:p>
    <w:p w:rsidR="009003B8" w:rsidRPr="003278B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3278B4" w:rsidRDefault="003278B4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3278B4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我们怎样区别圣行和习惯，比如关于戴缠巾的问题</w:t>
      </w:r>
      <w:r w:rsidR="009003B8" w:rsidRPr="003278B4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278B4" w:rsidRPr="003278B4" w:rsidRDefault="003278B4" w:rsidP="003278B4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3278B4">
        <w:rPr>
          <w:rFonts w:ascii="Tahoma" w:hAnsi="Tahoma" w:cs="Tahoma"/>
          <w:b/>
          <w:bCs/>
          <w:color w:val="FF0000"/>
          <w:sz w:val="32"/>
          <w:szCs w:val="32"/>
        </w:rPr>
        <w:t>有一件事情让我疑惑不解，就是在跟随先知（愿主福安之）的行为的时候，怎样区别圣行的行为和习惯的行为？比如关于戴缠巾和留长发的问题。众所周知，圣行包括先知（愿主福安之）的行为、言语和默认。区别圣行的准则是什么？是否可以这样说：先知的行为伴随着命令，就变成了言语的圣行。请您不吝赐教！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3278B4">
        <w:rPr>
          <w:rFonts w:ascii="Tahoma" w:hAnsi="Tahoma" w:cs="Tahoma"/>
          <w:sz w:val="32"/>
          <w:szCs w:val="32"/>
        </w:rPr>
        <w:t>一切赞颂，全归真主。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 </w:t>
      </w:r>
      <w:r>
        <w:rPr>
          <w:rFonts w:ascii="Tahoma" w:hAnsi="Tahoma" w:cs="Tahoma" w:hint="eastAsia"/>
          <w:sz w:val="32"/>
          <w:szCs w:val="32"/>
        </w:rPr>
        <w:t xml:space="preserve">    </w:t>
      </w:r>
      <w:r w:rsidRPr="003278B4">
        <w:rPr>
          <w:rFonts w:ascii="Tahoma" w:hAnsi="Tahoma" w:cs="Tahoma"/>
          <w:sz w:val="32"/>
          <w:szCs w:val="32"/>
        </w:rPr>
        <w:t>第一：圣行：就是源于先知（愿主福安之）的行为、言语或者默认。从根本上来说，先知（愿主福安之）的言语就是立法，因为他替真主传达命令，是引导人类遵循正道的使者，奉命要给人们阐明真主的法律，正如真主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﹙我曾派遣他们﹚带着一些明证和经典，﹙去教化众人﹚，我降示你教诲，以便你对众人阐明他们所受的启示，以便他们思维。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（</w:t>
      </w:r>
      <w:r w:rsidRPr="003278B4">
        <w:rPr>
          <w:rFonts w:ascii="Tahoma" w:hAnsi="Tahoma" w:cs="Tahoma"/>
          <w:sz w:val="32"/>
          <w:szCs w:val="32"/>
        </w:rPr>
        <w:t>16</w:t>
      </w:r>
      <w:r w:rsidRPr="003278B4">
        <w:rPr>
          <w:rFonts w:ascii="Tahoma" w:hAnsi="Tahoma" w:cs="Tahoma"/>
          <w:sz w:val="32"/>
          <w:szCs w:val="32"/>
        </w:rPr>
        <w:t>：</w:t>
      </w:r>
      <w:r w:rsidRPr="003278B4">
        <w:rPr>
          <w:rFonts w:ascii="Tahoma" w:hAnsi="Tahoma" w:cs="Tahoma"/>
          <w:sz w:val="32"/>
          <w:szCs w:val="32"/>
        </w:rPr>
        <w:t>44</w:t>
      </w:r>
      <w:r w:rsidRPr="003278B4">
        <w:rPr>
          <w:rFonts w:ascii="Tahoma" w:hAnsi="Tahoma" w:cs="Tahoma"/>
          <w:sz w:val="32"/>
          <w:szCs w:val="32"/>
        </w:rPr>
        <w:t>）；真主说：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使者啊！你当传达你的主所降示你的全部经典。如果你不这样</w:t>
      </w:r>
      <w:r w:rsidRPr="003278B4">
        <w:rPr>
          <w:rFonts w:ascii="Tahoma" w:hAnsi="Tahoma" w:cs="Tahoma"/>
          <w:sz w:val="32"/>
          <w:szCs w:val="32"/>
        </w:rPr>
        <w:lastRenderedPageBreak/>
        <w:t>做，那末，你就是没有传达他的使命。真主将保佑你免遭众人的杀害。真主必定不引导不信道的民众。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（</w:t>
      </w:r>
      <w:r w:rsidRPr="003278B4">
        <w:rPr>
          <w:rFonts w:ascii="Tahoma" w:hAnsi="Tahoma" w:cs="Tahoma"/>
          <w:sz w:val="32"/>
          <w:szCs w:val="32"/>
        </w:rPr>
        <w:t>5</w:t>
      </w:r>
      <w:r w:rsidRPr="003278B4">
        <w:rPr>
          <w:rFonts w:ascii="Tahoma" w:hAnsi="Tahoma" w:cs="Tahoma"/>
          <w:sz w:val="32"/>
          <w:szCs w:val="32"/>
        </w:rPr>
        <w:t>：</w:t>
      </w:r>
      <w:r w:rsidRPr="003278B4">
        <w:rPr>
          <w:rFonts w:ascii="Tahoma" w:hAnsi="Tahoma" w:cs="Tahoma"/>
          <w:sz w:val="32"/>
          <w:szCs w:val="32"/>
        </w:rPr>
        <w:t>67</w:t>
      </w:r>
      <w:r w:rsidRPr="003278B4">
        <w:rPr>
          <w:rFonts w:ascii="Tahoma" w:hAnsi="Tahoma" w:cs="Tahoma"/>
          <w:sz w:val="32"/>
          <w:szCs w:val="32"/>
        </w:rPr>
        <w:t>）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下面的这段圣训说明先知（愿主福安之）的言语就是立法，《艾布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大伍德圣训实录》（</w:t>
      </w:r>
      <w:r w:rsidRPr="003278B4">
        <w:rPr>
          <w:rFonts w:ascii="Tahoma" w:hAnsi="Tahoma" w:cs="Tahoma"/>
          <w:sz w:val="32"/>
          <w:szCs w:val="32"/>
        </w:rPr>
        <w:t>3646</w:t>
      </w:r>
      <w:r w:rsidRPr="003278B4">
        <w:rPr>
          <w:rFonts w:ascii="Tahoma" w:hAnsi="Tahoma" w:cs="Tahoma"/>
          <w:sz w:val="32"/>
          <w:szCs w:val="32"/>
        </w:rPr>
        <w:t>段）辑录：阿布杜拉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本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阿穆尔说：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我曾经记录我听到的真主的使者（愿主福安之）的一切话，而且想全部背记下来；古莱氏人禁止我那样做，他们说：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你怎么记录听到的一切话？真主是使者（愿主福安之）也是凡人，在愤怒和高兴的时候都要说话！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于是我就停止记录，然后把这件事情告诉了真主的使者（愿主福安之），使者就用手指着他的口，然后说：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你记录吧！以掌握我生命的主宰发誓！从此口中说出来的只有真理。</w:t>
      </w:r>
      <w:r w:rsidRPr="003278B4">
        <w:rPr>
          <w:rFonts w:ascii="Tahoma" w:hAnsi="Tahoma" w:cs="Tahoma"/>
          <w:sz w:val="32"/>
          <w:szCs w:val="32"/>
        </w:rPr>
        <w:t>”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也许先知（愿主福安之）所说的话并不是立法，这是根本的分歧，必须要有教法证据阐明它不是立法，正如为椰枣树授粉的著名圣训中所说的那样。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至于先知（愿主福安之）的行为，都是属于立法，要么是人性所需要的习惯和天性的行为；也许介于天性或者立法之间，也许有的行为是专门为使者（愿主福安之）特许的；伊玛目布哈里</w:t>
      </w:r>
      <w:r w:rsidRPr="003278B4">
        <w:rPr>
          <w:rFonts w:ascii="Tahoma" w:hAnsi="Tahoma" w:cs="Tahoma"/>
          <w:sz w:val="32"/>
          <w:szCs w:val="32"/>
        </w:rPr>
        <w:lastRenderedPageBreak/>
        <w:t>（愿主怜悯之）在《布哈里圣训实录》中例举了这四类行为，有一节的题目为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论仿效先知（愿主福安之）的行为</w:t>
      </w:r>
      <w:r w:rsidRPr="003278B4">
        <w:rPr>
          <w:rFonts w:ascii="Tahoma" w:hAnsi="Tahoma" w:cs="Tahoma"/>
          <w:sz w:val="32"/>
          <w:szCs w:val="32"/>
        </w:rPr>
        <w:t>”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哈菲兹伊本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哈哲尔（愿主怜悯之）在其解释中说：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其中的原则就是真主说：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在真主的使者中你们有优秀的楷模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；他主张这是必须的（瓦直布），因为真主说：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凡是使者给你们带来的，你们应该坚持它。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真主说：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你们应当跟随使者，真主将会喜爱你们。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真主说：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你们应该跟随他！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所以必须要在先知的行为中跟随他，正如在先知的言语中也要跟随他一样，除非有证据说明那是可嘉的、或者专门为使者特许的。一部分学者主张：有可能是必须的、可嘉的、或者允许的，所以必须要通过上下文决定。</w:t>
      </w:r>
      <w:r>
        <w:rPr>
          <w:rFonts w:ascii="Tahoma" w:hAnsi="Tahoma" w:cs="Tahoma" w:hint="eastAsia"/>
          <w:sz w:val="32"/>
          <w:szCs w:val="32"/>
        </w:rPr>
        <w:t xml:space="preserve">  </w:t>
      </w:r>
      <w:r w:rsidRPr="003278B4">
        <w:rPr>
          <w:rFonts w:ascii="Tahoma" w:hAnsi="Tahoma" w:cs="Tahoma"/>
          <w:sz w:val="32"/>
          <w:szCs w:val="32"/>
        </w:rPr>
        <w:t>大众学者主张：如果有接近真主的理由，有可能是可嘉的行为；有的人主张：即便没有接近真主的理由，它也是可嘉的行为；有的人把重复的行为和没有重复的行为区别对待，详细论述。还有的人主张：凡是先知（愿主福安之）所做的行为，如果阐明概括的命令，则其教法律列就是那个概括的命令的教法律列，无论是必须的、可嘉的、或者允许的都一样；如果有接近真主的理由，则是可嘉的；凡是没有接近真主的理由的行为，都是允许的；至</w:t>
      </w:r>
      <w:r w:rsidRPr="003278B4">
        <w:rPr>
          <w:rFonts w:ascii="Tahoma" w:hAnsi="Tahoma" w:cs="Tahoma"/>
          <w:sz w:val="32"/>
          <w:szCs w:val="32"/>
        </w:rPr>
        <w:lastRenderedPageBreak/>
        <w:t>于使者默认别人在他的跟前所做的行为，则是可以的。这个问题在教法原理中是显而易见的。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《法塔赫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宾勒》（</w:t>
      </w:r>
      <w:r w:rsidRPr="003278B4">
        <w:rPr>
          <w:rFonts w:ascii="Tahoma" w:hAnsi="Tahoma" w:cs="Tahoma"/>
          <w:sz w:val="32"/>
          <w:szCs w:val="32"/>
        </w:rPr>
        <w:t>13 / 288—289</w:t>
      </w:r>
      <w:r w:rsidRPr="003278B4">
        <w:rPr>
          <w:rFonts w:ascii="Tahoma" w:hAnsi="Tahoma" w:cs="Tahoma"/>
          <w:sz w:val="32"/>
          <w:szCs w:val="32"/>
        </w:rPr>
        <w:t>）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属于立法的例子，比如洗小净的行为、做礼拜的行为、朝觐的行为等，可以从多个方面得知它是属于立法的：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第一个方面：阐明使者所奉的命令，无论是必须的或者可嘉的，比如洗小净的行为，就是阐明真主的命令：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信道的人们啊！当你们起身去礼拜的时候，你们当洗脸和手，洗至于手肘，当摩头，当洗脚，洗至两踝。如果你们是不洁的，你们就当洗周身。如果你们害病或旅行，或从厕所来，或与妇女交接，而得不到水，你们就当趋向清洁的地面，而用一部分土摩脸和手。真主不欲使你们烦难，但他欲使你们清洁，并完成他所赐你们的恩典，以便你们感谢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（</w:t>
      </w:r>
      <w:r w:rsidRPr="003278B4">
        <w:rPr>
          <w:rFonts w:ascii="Tahoma" w:hAnsi="Tahoma" w:cs="Tahoma"/>
          <w:sz w:val="32"/>
          <w:szCs w:val="32"/>
        </w:rPr>
        <w:t>5:6</w:t>
      </w:r>
      <w:r w:rsidRPr="003278B4">
        <w:rPr>
          <w:rFonts w:ascii="Tahoma" w:hAnsi="Tahoma" w:cs="Tahoma"/>
          <w:sz w:val="32"/>
          <w:szCs w:val="32"/>
        </w:rPr>
        <w:t>）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第二个方面：明确的号召穆斯林要仿效和模仿先知的行为，比如先知（愿主福安之）说：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你们就像看到我做礼拜的那样做礼拜！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，或者说：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你们向我学习朝觐的仪式。</w:t>
      </w:r>
      <w:r w:rsidRPr="003278B4">
        <w:rPr>
          <w:rFonts w:ascii="Tahoma" w:hAnsi="Tahoma" w:cs="Tahoma"/>
          <w:sz w:val="32"/>
          <w:szCs w:val="32"/>
        </w:rPr>
        <w:t>”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第三个方面：先知（愿主福安之）亲自履行，同时鼓励穆斯林也去做，包括言语方面的圣行和行为方面的圣行。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lastRenderedPageBreak/>
        <w:t>天性方面的行为的准则：凡是人类所需要的行为，从中无法显出崇拜真主、立法和呼吁仿效的目的，比如立站、蹲坐、吃喝、睡眠、遮阴、行走、梳理头发、留长或者剪短头发，穿戴打扮，</w:t>
      </w:r>
      <w:r>
        <w:rPr>
          <w:rFonts w:ascii="Tahoma" w:hAnsi="Tahoma" w:cs="Tahoma"/>
          <w:sz w:val="32"/>
          <w:szCs w:val="32"/>
        </w:rPr>
        <w:t>比如穿裤裙、上衣和长衫、戴缠巾等，因为每个人必须要穿衣服，所以</w:t>
      </w:r>
      <w:r w:rsidRPr="003278B4">
        <w:rPr>
          <w:rFonts w:ascii="Tahoma" w:hAnsi="Tahoma" w:cs="Tahoma"/>
          <w:sz w:val="32"/>
          <w:szCs w:val="32"/>
        </w:rPr>
        <w:t>先知（愿主福安之）穿着当时他的族人所穿的这些衣服。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至于介于天性和立法之间模棱两可的行为，其准则就是：本来是天性所需要的行为，但是与宗教功修扯上了关系，比如骑着骆驼和马匹去朝觐、从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凯达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高地进入麦加、先知在朝觐结束之后从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穆汗素布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下山（这是位于麦加和米那之间的地方，更接近于米那，被称为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艾布托哈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），圣门弟子对于从此地下山的教法律列有所分歧：这是立法的行为或者不是立法的行为？阿布杜拉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本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欧麦尔（愿主喜悦之）认为这是圣行，阿布杜拉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本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阿巴斯（愿主喜悦之）说：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从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穆汗素布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下山不是立法的行为，只是真主的使者（愿主福安之）曾经从这儿下山了，仅此而已。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阿伊莎（愿主喜悦之）同意伊本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阿巴斯的主张，她说：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从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艾布托哈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下山不是圣行。真主的使者（愿主福安之）之所以从这儿下山，就是因为想出去的人最容易从这儿离开。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敬请参阅《布哈</w:t>
      </w:r>
      <w:r w:rsidRPr="003278B4">
        <w:rPr>
          <w:rFonts w:ascii="Tahoma" w:hAnsi="Tahoma" w:cs="Tahoma"/>
          <w:sz w:val="32"/>
          <w:szCs w:val="32"/>
        </w:rPr>
        <w:lastRenderedPageBreak/>
        <w:t>里圣训实录》（</w:t>
      </w:r>
      <w:r w:rsidRPr="003278B4">
        <w:rPr>
          <w:rFonts w:ascii="Tahoma" w:hAnsi="Tahoma" w:cs="Tahoma"/>
          <w:sz w:val="32"/>
          <w:szCs w:val="32"/>
        </w:rPr>
        <w:t>1765</w:t>
      </w:r>
      <w:r w:rsidRPr="003278B4">
        <w:rPr>
          <w:rFonts w:ascii="Tahoma" w:hAnsi="Tahoma" w:cs="Tahoma"/>
          <w:sz w:val="32"/>
          <w:szCs w:val="32"/>
        </w:rPr>
        <w:t>段）和（</w:t>
      </w:r>
      <w:r w:rsidRPr="003278B4">
        <w:rPr>
          <w:rFonts w:ascii="Tahoma" w:hAnsi="Tahoma" w:cs="Tahoma"/>
          <w:sz w:val="32"/>
          <w:szCs w:val="32"/>
        </w:rPr>
        <w:t>1766</w:t>
      </w:r>
      <w:r w:rsidRPr="003278B4">
        <w:rPr>
          <w:rFonts w:ascii="Tahoma" w:hAnsi="Tahoma" w:cs="Tahoma"/>
          <w:sz w:val="32"/>
          <w:szCs w:val="32"/>
        </w:rPr>
        <w:t>段），以及《穆斯林圣训实录》（</w:t>
      </w:r>
      <w:r w:rsidRPr="003278B4">
        <w:rPr>
          <w:rFonts w:ascii="Tahoma" w:hAnsi="Tahoma" w:cs="Tahoma"/>
          <w:sz w:val="32"/>
          <w:szCs w:val="32"/>
        </w:rPr>
        <w:t>1310</w:t>
      </w:r>
      <w:r w:rsidRPr="003278B4">
        <w:rPr>
          <w:rFonts w:ascii="Tahoma" w:hAnsi="Tahoma" w:cs="Tahoma"/>
          <w:sz w:val="32"/>
          <w:szCs w:val="32"/>
        </w:rPr>
        <w:t>段）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凡是介于天性和立法之间模棱两可的行为，要么是允许的行为，要么是可嘉的行为；</w:t>
      </w:r>
    </w:p>
    <w:p w:rsidR="003278B4" w:rsidRPr="003278B4" w:rsidRDefault="003278B4" w:rsidP="00611FC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至于纯粹天性方面的行为，则是允许的，假如要仿效一下，也是无可厚非的；伊本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欧麦尔曾经爱穿无毛的皮鞋子，并且爱染黄颜色，有人向他询问原因的时候，他说：</w:t>
      </w:r>
      <w:r w:rsidRPr="003278B4">
        <w:rPr>
          <w:rFonts w:ascii="Tahoma" w:hAnsi="Tahoma" w:cs="Tahoma"/>
          <w:sz w:val="32"/>
          <w:szCs w:val="32"/>
        </w:rPr>
        <w:t>“……</w:t>
      </w:r>
      <w:r w:rsidRPr="003278B4">
        <w:rPr>
          <w:rFonts w:ascii="Tahoma" w:hAnsi="Tahoma" w:cs="Tahoma"/>
          <w:sz w:val="32"/>
          <w:szCs w:val="32"/>
        </w:rPr>
        <w:t>，我曾经看见真主的使者（愿主福安之）穿着无毛的皮鞋子，并且做了小净，故我本人也喜欢穿这种鞋；至于染黄颜色一事，我曾经看见真主的使者（愿主福安之）这样做过，故我本人也喜欢染些黄颜色；</w:t>
      </w:r>
      <w:r w:rsidRPr="003278B4">
        <w:rPr>
          <w:rFonts w:ascii="Tahoma" w:hAnsi="Tahoma" w:cs="Tahoma"/>
          <w:sz w:val="32"/>
          <w:szCs w:val="32"/>
        </w:rPr>
        <w:t>……</w:t>
      </w:r>
      <w:r w:rsidRPr="003278B4">
        <w:rPr>
          <w:rFonts w:ascii="Tahoma" w:hAnsi="Tahoma" w:cs="Tahoma"/>
          <w:sz w:val="32"/>
          <w:szCs w:val="32"/>
        </w:rPr>
        <w:t>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《布哈里圣训实录》（</w:t>
      </w:r>
      <w:r w:rsidRPr="003278B4">
        <w:rPr>
          <w:rFonts w:ascii="Tahoma" w:hAnsi="Tahoma" w:cs="Tahoma"/>
          <w:sz w:val="32"/>
          <w:szCs w:val="32"/>
        </w:rPr>
        <w:t>166</w:t>
      </w:r>
      <w:r w:rsidRPr="003278B4">
        <w:rPr>
          <w:rFonts w:ascii="Tahoma" w:hAnsi="Tahoma" w:cs="Tahoma"/>
          <w:sz w:val="32"/>
          <w:szCs w:val="32"/>
        </w:rPr>
        <w:t>段）辑录。</w:t>
      </w:r>
    </w:p>
    <w:p w:rsidR="003278B4" w:rsidRPr="003278B4" w:rsidRDefault="003278B4" w:rsidP="00611FC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伊玛目沙菲尔对他的一部分同仁说：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给我倒点水！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然后站着喝水，因为先知（愿主福安之）曾经站着喝水；伊玛目艾哈迈德曾经夜行，三天不见踪影，然后转到另一个地方，为了仿效先知（愿主福安之）曾经夜行，并且在山洞中隐藏三天的事迹，他说：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只要我听到一段圣训，我就要亲身力行；甚至我为了仿效先知的行为，给了拔火罐（放血治疗）的人一个金币。</w:t>
      </w:r>
      <w:r w:rsidRPr="003278B4">
        <w:rPr>
          <w:rFonts w:ascii="Tahoma" w:hAnsi="Tahoma" w:cs="Tahoma"/>
          <w:sz w:val="32"/>
          <w:szCs w:val="32"/>
        </w:rPr>
        <w:t>”</w:t>
      </w:r>
    </w:p>
    <w:p w:rsidR="003278B4" w:rsidRPr="003278B4" w:rsidRDefault="003278B4" w:rsidP="00611FC1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lastRenderedPageBreak/>
        <w:t>敬请参阅穆罕默德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侯赛因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吉扎尼博士所著的《逊尼派跟前的教法原理的标志》（</w:t>
      </w:r>
      <w:r w:rsidRPr="003278B4">
        <w:rPr>
          <w:rFonts w:ascii="Tahoma" w:hAnsi="Tahoma" w:cs="Tahoma"/>
          <w:sz w:val="32"/>
          <w:szCs w:val="32"/>
        </w:rPr>
        <w:t>128</w:t>
      </w:r>
      <w:r w:rsidRPr="003278B4">
        <w:rPr>
          <w:rFonts w:ascii="Tahoma" w:hAnsi="Tahoma" w:cs="Tahoma"/>
          <w:sz w:val="32"/>
          <w:szCs w:val="32"/>
        </w:rPr>
        <w:t>页），阿布杜拉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本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优素福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哲迪尔所著的《简明教法原理》（</w:t>
      </w:r>
      <w:r w:rsidRPr="003278B4">
        <w:rPr>
          <w:rFonts w:ascii="Tahoma" w:hAnsi="Tahoma" w:cs="Tahoma"/>
          <w:sz w:val="32"/>
          <w:szCs w:val="32"/>
        </w:rPr>
        <w:t>121—124</w:t>
      </w:r>
      <w:r w:rsidRPr="003278B4">
        <w:rPr>
          <w:rFonts w:ascii="Tahoma" w:hAnsi="Tahoma" w:cs="Tahoma"/>
          <w:sz w:val="32"/>
          <w:szCs w:val="32"/>
        </w:rPr>
        <w:t>页）。</w:t>
      </w:r>
    </w:p>
    <w:p w:rsidR="003278B4" w:rsidRPr="003278B4" w:rsidRDefault="003278B4" w:rsidP="00611FC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第二：综上所述，可以明确的知道天性的行为不属于圣行，而是允许的习惯，可以模仿这些行为，除非与人们的习惯背道而驰，比如在不穿裤裙和披风的社会里穿着裤裙和披风，或者在没有戴缠巾习惯的人群中戴缠巾，或者留长发变成坏人标志的环境中留长发等。所以应该放弃这些标新立异和模仿异教徒的行为。</w:t>
      </w:r>
    </w:p>
    <w:p w:rsidR="003278B4" w:rsidRPr="003278B4" w:rsidRDefault="003278B4" w:rsidP="00611FC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哈菲兹伊本</w:t>
      </w:r>
      <w:r w:rsidRPr="003278B4">
        <w:rPr>
          <w:rFonts w:ascii="Tahoma" w:hAnsi="Tahoma" w:cs="Tahoma"/>
          <w:sz w:val="32"/>
          <w:szCs w:val="32"/>
        </w:rPr>
        <w:t>•</w:t>
      </w:r>
      <w:r w:rsidRPr="003278B4">
        <w:rPr>
          <w:rFonts w:ascii="Tahoma" w:hAnsi="Tahoma" w:cs="Tahoma"/>
          <w:sz w:val="32"/>
          <w:szCs w:val="32"/>
        </w:rPr>
        <w:t>哈哲尔（愿主怜悯之）叙述关于染指甲花的行为以及先贤对其中的分歧而说：</w:t>
      </w:r>
      <w:r w:rsidRPr="003278B4">
        <w:rPr>
          <w:rFonts w:ascii="Tahoma" w:hAnsi="Tahoma" w:cs="Tahoma"/>
          <w:sz w:val="32"/>
          <w:szCs w:val="32"/>
        </w:rPr>
        <w:t>“</w:t>
      </w:r>
      <w:r w:rsidRPr="003278B4">
        <w:rPr>
          <w:rFonts w:ascii="Tahoma" w:hAnsi="Tahoma" w:cs="Tahoma"/>
          <w:sz w:val="32"/>
          <w:szCs w:val="32"/>
        </w:rPr>
        <w:t>染指甲花首先是笼统的，就是服从命令，与</w:t>
      </w:r>
      <w:r w:rsidRPr="003278B4">
        <w:rPr>
          <w:rFonts w:ascii="Tahoma" w:hAnsi="Tahoma" w:cs="Tahoma"/>
          <w:sz w:val="32"/>
          <w:szCs w:val="32"/>
        </w:rPr>
        <w:t xml:space="preserve"> “</w:t>
      </w:r>
      <w:r w:rsidRPr="003278B4">
        <w:rPr>
          <w:rFonts w:ascii="Tahoma" w:hAnsi="Tahoma" w:cs="Tahoma"/>
          <w:sz w:val="32"/>
          <w:szCs w:val="32"/>
        </w:rPr>
        <w:t>有经人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保持区别；保护头发，以免沾染尘土或者别的东西；如果这是一个地方的人们的习惯，则应该放弃染指甲花的行为；如果在人群中只有一个人独自染指甲花，则属于标新立异和出名的行为，最应该放弃这种做法。</w:t>
      </w:r>
      <w:r w:rsidRPr="003278B4">
        <w:rPr>
          <w:rFonts w:ascii="Tahoma" w:hAnsi="Tahoma" w:cs="Tahoma"/>
          <w:sz w:val="32"/>
          <w:szCs w:val="32"/>
        </w:rPr>
        <w:t>”</w:t>
      </w:r>
      <w:r w:rsidRPr="003278B4">
        <w:rPr>
          <w:rFonts w:ascii="Tahoma" w:hAnsi="Tahoma" w:cs="Tahoma"/>
          <w:sz w:val="32"/>
          <w:szCs w:val="32"/>
        </w:rPr>
        <w:t>《法塔赫</w:t>
      </w:r>
      <w:r w:rsidRPr="003278B4">
        <w:rPr>
          <w:rFonts w:ascii="Tahoma" w:hAnsi="Tahoma" w:cs="Tahoma"/>
          <w:sz w:val="32"/>
          <w:szCs w:val="32"/>
        </w:rPr>
        <w:t>·</w:t>
      </w:r>
      <w:r w:rsidRPr="003278B4">
        <w:rPr>
          <w:rFonts w:ascii="Tahoma" w:hAnsi="Tahoma" w:cs="Tahoma"/>
          <w:sz w:val="32"/>
          <w:szCs w:val="32"/>
        </w:rPr>
        <w:t>宾勒》（</w:t>
      </w:r>
      <w:r w:rsidRPr="003278B4">
        <w:rPr>
          <w:rFonts w:ascii="Tahoma" w:hAnsi="Tahoma" w:cs="Tahoma"/>
          <w:sz w:val="32"/>
          <w:szCs w:val="32"/>
        </w:rPr>
        <w:t>10 / 367—368</w:t>
      </w:r>
      <w:r w:rsidRPr="003278B4">
        <w:rPr>
          <w:rFonts w:ascii="Tahoma" w:hAnsi="Tahoma" w:cs="Tahoma"/>
          <w:sz w:val="32"/>
          <w:szCs w:val="32"/>
        </w:rPr>
        <w:t>）。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 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lastRenderedPageBreak/>
        <w:t>许多学者对戴缠巾和留长发的问题有专门的论述，我们在（</w:t>
      </w:r>
      <w:hyperlink r:id="rId8" w:history="1">
        <w:r w:rsidRPr="003278B4">
          <w:rPr>
            <w:rStyle w:val="Hyperlink"/>
            <w:rFonts w:ascii="Tahoma" w:hAnsi="Tahoma" w:cs="Tahoma"/>
            <w:color w:val="auto"/>
            <w:sz w:val="32"/>
            <w:szCs w:val="32"/>
          </w:rPr>
          <w:t>113894</w:t>
        </w:r>
      </w:hyperlink>
      <w:r w:rsidRPr="003278B4">
        <w:rPr>
          <w:rFonts w:ascii="Tahoma" w:hAnsi="Tahoma" w:cs="Tahoma"/>
          <w:sz w:val="32"/>
          <w:szCs w:val="32"/>
        </w:rPr>
        <w:t>）和（</w:t>
      </w:r>
      <w:hyperlink r:id="rId9" w:history="1">
        <w:r w:rsidRPr="003278B4">
          <w:rPr>
            <w:rStyle w:val="Hyperlink"/>
            <w:rFonts w:ascii="Tahoma" w:hAnsi="Tahoma" w:cs="Tahoma"/>
            <w:color w:val="auto"/>
            <w:sz w:val="32"/>
            <w:szCs w:val="32"/>
          </w:rPr>
          <w:t>69822</w:t>
        </w:r>
      </w:hyperlink>
      <w:r w:rsidRPr="003278B4">
        <w:rPr>
          <w:rFonts w:ascii="Tahoma" w:hAnsi="Tahoma" w:cs="Tahoma"/>
          <w:sz w:val="32"/>
          <w:szCs w:val="32"/>
        </w:rPr>
        <w:t>）号问题的回答中已经阐明了这一点，敬请参阅。</w:t>
      </w:r>
    </w:p>
    <w:p w:rsidR="003278B4" w:rsidRPr="003278B4" w:rsidRDefault="003278B4" w:rsidP="003278B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3278B4">
        <w:rPr>
          <w:rFonts w:ascii="Tahoma" w:hAnsi="Tahoma" w:cs="Tahoma"/>
          <w:sz w:val="32"/>
          <w:szCs w:val="32"/>
        </w:rPr>
        <w:t>真主至知！</w:t>
      </w:r>
    </w:p>
    <w:p w:rsidR="003278B4" w:rsidRDefault="003278B4" w:rsidP="003278B4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C98" w:rsidRDefault="007A5C98" w:rsidP="00E32771">
      <w:pPr>
        <w:spacing w:after="0" w:line="240" w:lineRule="auto"/>
      </w:pPr>
      <w:r>
        <w:separator/>
      </w:r>
    </w:p>
  </w:endnote>
  <w:endnote w:type="continuationSeparator" w:id="0">
    <w:p w:rsidR="007A5C98" w:rsidRDefault="007A5C9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799A9C-1436-4617-B654-3C3AF7C876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4A7532B8-4BB6-45A3-976E-DA0280BFB55E}"/>
    <w:embedBold r:id="rId3" w:subsetted="1" w:fontKey="{4F47863D-0F13-411B-B67B-452ACF26A9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5BEDD04-8CBC-407E-8F79-CCC177409EB9}"/>
    <w:embedBold r:id="rId5" w:fontKey="{6D408BCB-F98E-4722-A5FB-414BA1EE1A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E0C5948-7A86-47C0-82CB-85FB67DC52D7}"/>
    <w:embedBold r:id="rId7" w:fontKey="{DCC99CC1-A7D5-447A-8F80-188D0A8065F0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97B17AA9-A187-43B3-8640-DA1D6A49AC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B52FDC9-A733-49EC-8EF0-ED8EB1A43B9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5D95DBB3-3100-437E-B946-3BF4BD1C3713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47D08992-2BB5-4BCE-BC81-65990567DDA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3AA27DBB-5CDA-44CC-97AC-333F5D5F4FE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F84A1B0-BC7C-4B71-BE82-0F4D06A7E99C}"/>
    <w:embedBold r:id="rId14" w:fontKey="{92D8D765-FD40-4311-82A4-B5128376A7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3397B69-494F-4E15-9CFD-834F25FEADB9}"/>
    <w:embedBold r:id="rId16" w:fontKey="{AA414CEF-6102-4C2B-AC96-11EF0C753AF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313067FF-0A53-489A-BD2D-A88AA19DAD6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41404280-820D-4A69-9ECC-648F279209E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7DF0F732-1085-4BA5-9FFC-79441741D52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5A0DAB4F-87E9-4C28-B215-939C3E660B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C98" w:rsidRDefault="007A5C98" w:rsidP="00E32771">
      <w:pPr>
        <w:spacing w:after="0" w:line="240" w:lineRule="auto"/>
      </w:pPr>
      <w:r>
        <w:separator/>
      </w:r>
    </w:p>
  </w:footnote>
  <w:footnote w:type="continuationSeparator" w:id="0">
    <w:p w:rsidR="007A5C98" w:rsidRDefault="007A5C9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7A5C98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E77DE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E77DE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F60735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8</w:t>
                  </w:r>
                  <w:r w:rsidR="00E77DE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7A5C98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7A5C98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278B4"/>
    <w:rsid w:val="00341C5F"/>
    <w:rsid w:val="00347608"/>
    <w:rsid w:val="003764D3"/>
    <w:rsid w:val="003831F3"/>
    <w:rsid w:val="003A526E"/>
    <w:rsid w:val="003B110F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11FC1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A5C98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77DEE"/>
    <w:rsid w:val="00E903FC"/>
    <w:rsid w:val="00EB6A67"/>
    <w:rsid w:val="00F11B8A"/>
    <w:rsid w:val="00F14B1B"/>
    <w:rsid w:val="00F17D13"/>
    <w:rsid w:val="00F2420A"/>
    <w:rsid w:val="00F3173B"/>
    <w:rsid w:val="00F4624C"/>
    <w:rsid w:val="00F60735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2A9EE373-BEE5-4F4E-AF06-0FE8DEEBD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3278B4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3278B4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3278B4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13894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69822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9DCA6-4F8C-43E9-B677-1E3A617EA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1684</Words>
  <Characters>1769</Characters>
  <Application>Microsoft Office Word</Application>
  <DocSecurity>0</DocSecurity>
  <Lines>93</Lines>
  <Paragraphs>31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3422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我们怎样区别圣行和习惯，比如关于戴缠巾的问题_x000d_</dc:title>
  <dc:subject>我们怎样区别圣行和习惯，比如关于戴缠巾的问题_x000d_</dc:subject>
  <dc:creator>伊斯兰问答网站</dc:creator>
  <cp:keywords>我们怎样区别圣行和习惯，比如关于戴缠巾的问题_x000d_</cp:keywords>
  <dc:description>我们怎样区别圣行和习惯，比如关于戴缠巾的问题_x000d_</dc:description>
  <cp:lastModifiedBy>elhashemy</cp:lastModifiedBy>
  <cp:revision>3</cp:revision>
  <cp:lastPrinted>2015-03-07T18:49:00Z</cp:lastPrinted>
  <dcterms:created xsi:type="dcterms:W3CDTF">2015-04-20T08:34:00Z</dcterms:created>
  <dcterms:modified xsi:type="dcterms:W3CDTF">2015-05-23T09:31:00Z</dcterms:modified>
  <cp:category/>
</cp:coreProperties>
</file>